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F7CC4" w14:textId="77777777" w:rsidR="00353BD1" w:rsidRDefault="00353BD1">
      <w:pPr>
        <w:adjustRightInd w:val="0"/>
        <w:snapToGrid w:val="0"/>
        <w:spacing w:line="360" w:lineRule="auto"/>
        <w:jc w:val="center"/>
        <w:rPr>
          <w:rFonts w:ascii="宋体" w:hAnsi="宋体" w:cs="Arial"/>
          <w:sz w:val="24"/>
        </w:rPr>
      </w:pPr>
    </w:p>
    <w:p w14:paraId="6EB25B71" w14:textId="77777777" w:rsidR="00353BD1" w:rsidRDefault="00353BD1">
      <w:pPr>
        <w:adjustRightInd w:val="0"/>
        <w:snapToGrid w:val="0"/>
        <w:spacing w:line="360" w:lineRule="auto"/>
        <w:jc w:val="center"/>
        <w:rPr>
          <w:rFonts w:ascii="宋体" w:hAnsi="宋体" w:cs="Arial"/>
          <w:sz w:val="24"/>
        </w:rPr>
      </w:pPr>
    </w:p>
    <w:p w14:paraId="4B6B0226" w14:textId="77777777" w:rsidR="00353BD1" w:rsidRDefault="00353BD1">
      <w:pPr>
        <w:adjustRightInd w:val="0"/>
        <w:snapToGrid w:val="0"/>
        <w:spacing w:line="360" w:lineRule="auto"/>
        <w:jc w:val="center"/>
        <w:rPr>
          <w:rFonts w:ascii="宋体" w:hAnsi="宋体" w:cs="Arial"/>
          <w:sz w:val="24"/>
        </w:rPr>
      </w:pPr>
    </w:p>
    <w:p w14:paraId="633E4EA2" w14:textId="77777777" w:rsidR="00353BD1" w:rsidRDefault="00353BD1">
      <w:pPr>
        <w:adjustRightInd w:val="0"/>
        <w:snapToGrid w:val="0"/>
        <w:spacing w:line="360" w:lineRule="auto"/>
        <w:jc w:val="center"/>
        <w:rPr>
          <w:rFonts w:ascii="宋体" w:hAnsi="宋体" w:cs="Arial"/>
          <w:sz w:val="24"/>
        </w:rPr>
      </w:pPr>
    </w:p>
    <w:p w14:paraId="685B8D18" w14:textId="77777777" w:rsidR="00353BD1" w:rsidRDefault="00353BD1">
      <w:pPr>
        <w:adjustRightInd w:val="0"/>
        <w:snapToGrid w:val="0"/>
        <w:spacing w:line="360" w:lineRule="auto"/>
        <w:jc w:val="center"/>
        <w:rPr>
          <w:rFonts w:ascii="宋体" w:hAnsi="宋体" w:cs="Arial"/>
          <w:sz w:val="24"/>
        </w:rPr>
      </w:pPr>
    </w:p>
    <w:p w14:paraId="1B40AF4F" w14:textId="77777777" w:rsidR="00353BD1" w:rsidRDefault="00353BD1">
      <w:pPr>
        <w:adjustRightInd w:val="0"/>
        <w:snapToGrid w:val="0"/>
        <w:spacing w:line="360" w:lineRule="auto"/>
        <w:jc w:val="center"/>
        <w:rPr>
          <w:rFonts w:ascii="宋体" w:hAnsi="宋体" w:cs="Arial"/>
          <w:sz w:val="24"/>
        </w:rPr>
      </w:pPr>
    </w:p>
    <w:p w14:paraId="1B921828" w14:textId="77777777" w:rsidR="00353BD1" w:rsidRDefault="00353BD1">
      <w:pPr>
        <w:adjustRightInd w:val="0"/>
        <w:snapToGrid w:val="0"/>
        <w:spacing w:line="360" w:lineRule="auto"/>
        <w:jc w:val="center"/>
        <w:rPr>
          <w:rFonts w:ascii="宋体" w:hAnsi="宋体" w:cs="Arial"/>
          <w:sz w:val="24"/>
        </w:rPr>
      </w:pPr>
    </w:p>
    <w:p w14:paraId="4EB581AF" w14:textId="77777777" w:rsidR="00353BD1" w:rsidRDefault="00353BD1">
      <w:pPr>
        <w:adjustRightInd w:val="0"/>
        <w:snapToGrid w:val="0"/>
        <w:spacing w:line="360" w:lineRule="auto"/>
        <w:jc w:val="center"/>
        <w:rPr>
          <w:rFonts w:ascii="宋体" w:hAnsi="宋体" w:cs="Arial"/>
          <w:sz w:val="24"/>
        </w:rPr>
      </w:pPr>
    </w:p>
    <w:p w14:paraId="243CF789" w14:textId="77777777" w:rsidR="00353BD1" w:rsidRDefault="00353BD1">
      <w:pPr>
        <w:adjustRightInd w:val="0"/>
        <w:snapToGrid w:val="0"/>
        <w:spacing w:line="360" w:lineRule="auto"/>
        <w:jc w:val="center"/>
        <w:rPr>
          <w:rFonts w:ascii="宋体" w:hAnsi="宋体" w:cs="Arial"/>
          <w:sz w:val="24"/>
        </w:rPr>
      </w:pPr>
    </w:p>
    <w:p w14:paraId="51F0F7E5" w14:textId="77777777" w:rsidR="00353BD1" w:rsidRDefault="00353BD1">
      <w:pPr>
        <w:adjustRightInd w:val="0"/>
        <w:snapToGrid w:val="0"/>
        <w:spacing w:line="360" w:lineRule="auto"/>
        <w:jc w:val="center"/>
        <w:rPr>
          <w:rFonts w:ascii="宋体" w:hAnsi="宋体" w:cs="Arial"/>
          <w:sz w:val="24"/>
        </w:rPr>
      </w:pPr>
    </w:p>
    <w:p w14:paraId="2462DDB7" w14:textId="77777777" w:rsidR="00353BD1" w:rsidRDefault="00353BD1">
      <w:pPr>
        <w:adjustRightInd w:val="0"/>
        <w:snapToGrid w:val="0"/>
        <w:spacing w:line="360" w:lineRule="auto"/>
        <w:jc w:val="center"/>
        <w:rPr>
          <w:rFonts w:ascii="宋体" w:hAnsi="宋体" w:cs="Arial"/>
          <w:sz w:val="24"/>
        </w:rPr>
      </w:pPr>
    </w:p>
    <w:p w14:paraId="0E3EEAF7" w14:textId="77777777" w:rsidR="008354CD" w:rsidRDefault="00064D22">
      <w:pPr>
        <w:adjustRightInd w:val="0"/>
        <w:snapToGrid w:val="0"/>
        <w:spacing w:line="360" w:lineRule="auto"/>
        <w:jc w:val="center"/>
        <w:rPr>
          <w:rFonts w:ascii="宋体" w:hAnsi="宋体" w:cs="Arial"/>
          <w:b/>
          <w:sz w:val="44"/>
        </w:rPr>
      </w:pPr>
      <w:r>
        <w:rPr>
          <w:rFonts w:ascii="宋体" w:hAnsi="宋体" w:cs="Arial" w:hint="eastAsia"/>
          <w:b/>
          <w:sz w:val="44"/>
        </w:rPr>
        <w:t>广发质量优选股票型证券投资基金</w:t>
      </w:r>
    </w:p>
    <w:p w14:paraId="7FE080EE" w14:textId="3F67DABA" w:rsidR="00353BD1" w:rsidRDefault="00064D22">
      <w:pPr>
        <w:adjustRightInd w:val="0"/>
        <w:snapToGrid w:val="0"/>
        <w:spacing w:line="360" w:lineRule="auto"/>
        <w:jc w:val="center"/>
        <w:rPr>
          <w:rFonts w:ascii="宋体" w:hAnsi="宋体" w:cs="Arial"/>
          <w:b/>
          <w:sz w:val="44"/>
        </w:rPr>
      </w:pPr>
      <w:r>
        <w:rPr>
          <w:rFonts w:ascii="宋体" w:hAnsi="宋体" w:cs="Arial" w:hint="eastAsia"/>
          <w:b/>
          <w:sz w:val="44"/>
        </w:rPr>
        <w:t>托管协议</w:t>
      </w:r>
    </w:p>
    <w:p w14:paraId="5A533366" w14:textId="77777777" w:rsidR="00353BD1" w:rsidRDefault="00353BD1">
      <w:pPr>
        <w:adjustRightInd w:val="0"/>
        <w:snapToGrid w:val="0"/>
        <w:spacing w:line="360" w:lineRule="auto"/>
        <w:jc w:val="center"/>
        <w:outlineLvl w:val="0"/>
        <w:rPr>
          <w:rFonts w:ascii="宋体" w:hAnsi="宋体" w:cs="Arial"/>
          <w:sz w:val="24"/>
        </w:rPr>
      </w:pPr>
    </w:p>
    <w:p w14:paraId="44E7B103" w14:textId="77777777" w:rsidR="00353BD1" w:rsidRDefault="00353BD1">
      <w:pPr>
        <w:adjustRightInd w:val="0"/>
        <w:snapToGrid w:val="0"/>
        <w:spacing w:line="360" w:lineRule="auto"/>
        <w:jc w:val="center"/>
        <w:outlineLvl w:val="0"/>
        <w:rPr>
          <w:rFonts w:ascii="宋体" w:hAnsi="宋体" w:cs="Arial"/>
          <w:sz w:val="24"/>
        </w:rPr>
      </w:pPr>
    </w:p>
    <w:p w14:paraId="077E9B95" w14:textId="77777777" w:rsidR="00353BD1" w:rsidRDefault="00353BD1">
      <w:pPr>
        <w:adjustRightInd w:val="0"/>
        <w:snapToGrid w:val="0"/>
        <w:spacing w:line="360" w:lineRule="auto"/>
        <w:jc w:val="center"/>
        <w:outlineLvl w:val="0"/>
        <w:rPr>
          <w:rFonts w:ascii="宋体" w:hAnsi="宋体" w:cs="Arial"/>
          <w:sz w:val="24"/>
        </w:rPr>
      </w:pPr>
    </w:p>
    <w:p w14:paraId="1F234E4A" w14:textId="77777777" w:rsidR="00353BD1" w:rsidRDefault="00353BD1">
      <w:pPr>
        <w:adjustRightInd w:val="0"/>
        <w:snapToGrid w:val="0"/>
        <w:spacing w:line="360" w:lineRule="auto"/>
        <w:jc w:val="center"/>
        <w:outlineLvl w:val="0"/>
        <w:rPr>
          <w:rFonts w:ascii="宋体" w:hAnsi="宋体" w:cs="Arial"/>
          <w:sz w:val="24"/>
        </w:rPr>
      </w:pPr>
    </w:p>
    <w:p w14:paraId="287F3856" w14:textId="77777777" w:rsidR="00353BD1" w:rsidRDefault="00353BD1">
      <w:pPr>
        <w:adjustRightInd w:val="0"/>
        <w:snapToGrid w:val="0"/>
        <w:spacing w:line="360" w:lineRule="auto"/>
        <w:jc w:val="center"/>
        <w:outlineLvl w:val="0"/>
        <w:rPr>
          <w:rFonts w:ascii="宋体" w:hAnsi="宋体" w:cs="Arial"/>
          <w:sz w:val="24"/>
        </w:rPr>
      </w:pPr>
    </w:p>
    <w:p w14:paraId="33A111B6" w14:textId="77777777" w:rsidR="00353BD1" w:rsidRDefault="00353BD1">
      <w:pPr>
        <w:adjustRightInd w:val="0"/>
        <w:snapToGrid w:val="0"/>
        <w:spacing w:line="360" w:lineRule="auto"/>
        <w:jc w:val="center"/>
        <w:outlineLvl w:val="0"/>
        <w:rPr>
          <w:rFonts w:ascii="宋体" w:hAnsi="宋体" w:cs="Arial"/>
          <w:sz w:val="24"/>
        </w:rPr>
      </w:pPr>
    </w:p>
    <w:p w14:paraId="45313E1F" w14:textId="77777777" w:rsidR="00353BD1" w:rsidRDefault="00064D22">
      <w:pPr>
        <w:adjustRightInd w:val="0"/>
        <w:snapToGrid w:val="0"/>
        <w:spacing w:line="360" w:lineRule="auto"/>
        <w:jc w:val="center"/>
        <w:outlineLvl w:val="0"/>
        <w:rPr>
          <w:rFonts w:ascii="宋体" w:hAnsi="宋体" w:cs="Arial"/>
          <w:b/>
          <w:bCs/>
          <w:sz w:val="28"/>
        </w:rPr>
      </w:pPr>
      <w:r>
        <w:rPr>
          <w:rFonts w:ascii="宋体" w:hAnsi="宋体" w:cs="Arial" w:hint="eastAsia"/>
          <w:b/>
          <w:bCs/>
          <w:sz w:val="28"/>
        </w:rPr>
        <w:t>基金管理人：广发基金管理有限公司</w:t>
      </w:r>
    </w:p>
    <w:p w14:paraId="0D28FE49" w14:textId="77777777" w:rsidR="00353BD1" w:rsidRDefault="00064D22">
      <w:pPr>
        <w:adjustRightInd w:val="0"/>
        <w:snapToGrid w:val="0"/>
        <w:spacing w:line="360" w:lineRule="auto"/>
        <w:jc w:val="center"/>
        <w:outlineLvl w:val="0"/>
        <w:rPr>
          <w:rFonts w:ascii="宋体" w:hAnsi="宋体" w:cs="Arial"/>
          <w:b/>
          <w:bCs/>
          <w:sz w:val="28"/>
        </w:rPr>
      </w:pPr>
      <w:r>
        <w:rPr>
          <w:rFonts w:ascii="宋体" w:hAnsi="宋体" w:cs="Arial" w:hint="eastAsia"/>
          <w:b/>
          <w:bCs/>
          <w:sz w:val="28"/>
        </w:rPr>
        <w:t xml:space="preserve">    基金托管人：中国建设银行股份有限公司</w:t>
      </w:r>
    </w:p>
    <w:p w14:paraId="78AFF3E2" w14:textId="77777777" w:rsidR="00353BD1" w:rsidRDefault="00353BD1">
      <w:pPr>
        <w:adjustRightInd w:val="0"/>
        <w:snapToGrid w:val="0"/>
        <w:spacing w:line="360" w:lineRule="auto"/>
        <w:outlineLvl w:val="0"/>
        <w:rPr>
          <w:rFonts w:ascii="宋体" w:hAnsi="宋体" w:cs="Arial"/>
          <w:sz w:val="24"/>
        </w:rPr>
      </w:pPr>
    </w:p>
    <w:p w14:paraId="112C1C3E" w14:textId="77777777" w:rsidR="00353BD1" w:rsidRDefault="00064D22">
      <w:pPr>
        <w:adjustRightInd w:val="0"/>
        <w:snapToGrid w:val="0"/>
        <w:spacing w:line="360" w:lineRule="auto"/>
        <w:outlineLvl w:val="0"/>
        <w:rPr>
          <w:rFonts w:ascii="宋体" w:hAnsi="宋体" w:cs="Arial"/>
          <w:sz w:val="24"/>
        </w:rPr>
      </w:pPr>
      <w:r>
        <w:rPr>
          <w:rFonts w:ascii="宋体" w:hAnsi="宋体" w:cs="Arial" w:hint="eastAsia"/>
          <w:sz w:val="24"/>
        </w:rPr>
        <w:t xml:space="preserve">                       </w:t>
      </w:r>
    </w:p>
    <w:p w14:paraId="644422CE" w14:textId="77777777" w:rsidR="00353BD1" w:rsidRDefault="00353BD1">
      <w:pPr>
        <w:adjustRightInd w:val="0"/>
        <w:snapToGrid w:val="0"/>
        <w:spacing w:line="360" w:lineRule="auto"/>
        <w:jc w:val="center"/>
        <w:rPr>
          <w:rFonts w:ascii="宋体" w:hAnsi="宋体" w:cs="Arial"/>
          <w:bCs/>
          <w:sz w:val="24"/>
        </w:rPr>
      </w:pPr>
    </w:p>
    <w:p w14:paraId="24F82017" w14:textId="77777777" w:rsidR="00353BD1" w:rsidRDefault="00353BD1">
      <w:pPr>
        <w:adjustRightInd w:val="0"/>
        <w:snapToGrid w:val="0"/>
        <w:spacing w:line="360" w:lineRule="auto"/>
        <w:jc w:val="center"/>
        <w:rPr>
          <w:rFonts w:ascii="宋体" w:hAnsi="宋体" w:cs="Arial"/>
          <w:bCs/>
          <w:sz w:val="24"/>
        </w:rPr>
      </w:pPr>
    </w:p>
    <w:p w14:paraId="5DF3D15E" w14:textId="77777777" w:rsidR="00353BD1" w:rsidRDefault="00353BD1">
      <w:pPr>
        <w:adjustRightInd w:val="0"/>
        <w:snapToGrid w:val="0"/>
        <w:spacing w:line="360" w:lineRule="auto"/>
        <w:jc w:val="center"/>
        <w:rPr>
          <w:rFonts w:ascii="宋体" w:hAnsi="宋体" w:cs="Arial"/>
          <w:bCs/>
          <w:sz w:val="24"/>
        </w:rPr>
      </w:pPr>
    </w:p>
    <w:p w14:paraId="0D4C91F9" w14:textId="77777777" w:rsidR="00353BD1" w:rsidRDefault="00353BD1">
      <w:pPr>
        <w:adjustRightInd w:val="0"/>
        <w:snapToGrid w:val="0"/>
        <w:spacing w:line="360" w:lineRule="auto"/>
        <w:jc w:val="center"/>
        <w:rPr>
          <w:rFonts w:ascii="宋体" w:hAnsi="宋体" w:cs="Arial"/>
          <w:bCs/>
          <w:sz w:val="24"/>
        </w:rPr>
        <w:sectPr w:rsidR="00353BD1">
          <w:footerReference w:type="even" r:id="rId6"/>
          <w:footerReference w:type="default" r:id="rId7"/>
          <w:pgSz w:w="11906" w:h="16838"/>
          <w:pgMar w:top="1418" w:right="1701" w:bottom="1418" w:left="1701" w:header="851" w:footer="992" w:gutter="0"/>
          <w:cols w:space="720"/>
          <w:docGrid w:type="lines" w:linePitch="312"/>
        </w:sectPr>
      </w:pPr>
    </w:p>
    <w:p w14:paraId="4D88C863" w14:textId="77777777" w:rsidR="00353BD1" w:rsidRDefault="00353BD1">
      <w:pPr>
        <w:adjustRightInd w:val="0"/>
        <w:snapToGrid w:val="0"/>
        <w:spacing w:line="360" w:lineRule="auto"/>
        <w:rPr>
          <w:rFonts w:ascii="宋体" w:hAnsi="宋体" w:cs="Arial"/>
          <w:bCs/>
          <w:sz w:val="24"/>
        </w:rPr>
      </w:pPr>
    </w:p>
    <w:p w14:paraId="137C4A05" w14:textId="77777777" w:rsidR="00353BD1" w:rsidRDefault="00064D22">
      <w:pPr>
        <w:spacing w:line="360" w:lineRule="auto"/>
        <w:jc w:val="center"/>
        <w:rPr>
          <w:rFonts w:ascii="宋体" w:hAnsi="宋体"/>
          <w:b/>
          <w:bCs/>
          <w:sz w:val="30"/>
        </w:rPr>
      </w:pPr>
      <w:r>
        <w:rPr>
          <w:rFonts w:ascii="宋体" w:hAnsi="宋体" w:hint="eastAsia"/>
          <w:b/>
          <w:bCs/>
          <w:sz w:val="30"/>
        </w:rPr>
        <w:t>目    录</w:t>
      </w:r>
    </w:p>
    <w:p w14:paraId="2230634E" w14:textId="60C7E6F8" w:rsidR="00353BD1" w:rsidRDefault="00064D22">
      <w:pPr>
        <w:pStyle w:val="23"/>
        <w:tabs>
          <w:tab w:val="right" w:leader="dot" w:pos="8494"/>
        </w:tabs>
        <w:spacing w:line="360" w:lineRule="auto"/>
        <w:rPr>
          <w:rFonts w:ascii="宋体" w:hAnsi="宋体"/>
          <w:noProof/>
          <w:sz w:val="24"/>
        </w:rPr>
      </w:pPr>
      <w:r>
        <w:rPr>
          <w:rFonts w:ascii="宋体" w:hAnsi="宋体" w:hint="eastAsia"/>
          <w:sz w:val="28"/>
        </w:rPr>
        <w:fldChar w:fldCharType="begin"/>
      </w:r>
      <w:r>
        <w:rPr>
          <w:rFonts w:ascii="宋体" w:hAnsi="宋体" w:hint="eastAsia"/>
          <w:sz w:val="28"/>
        </w:rPr>
        <w:instrText xml:space="preserve"> TOC \o "1-2" \h \z </w:instrText>
      </w:r>
      <w:r>
        <w:rPr>
          <w:rFonts w:ascii="宋体" w:hAnsi="宋体" w:hint="eastAsia"/>
          <w:sz w:val="28"/>
        </w:rPr>
        <w:fldChar w:fldCharType="separate"/>
      </w:r>
      <w:hyperlink w:anchor="_Toc124325885" w:history="1">
        <w:r>
          <w:rPr>
            <w:rStyle w:val="af1"/>
            <w:rFonts w:ascii="宋体" w:hAnsi="宋体" w:hint="eastAsia"/>
            <w:noProof/>
            <w:sz w:val="24"/>
          </w:rPr>
          <w:t>一、基金托管协议当</w:t>
        </w:r>
        <w:bookmarkStart w:id="0" w:name="_Hlt498420681"/>
        <w:bookmarkStart w:id="1" w:name="_Hlt498420680"/>
        <w:r>
          <w:rPr>
            <w:rStyle w:val="af1"/>
            <w:rFonts w:ascii="宋体" w:hAnsi="宋体" w:hint="eastAsia"/>
            <w:noProof/>
            <w:sz w:val="24"/>
          </w:rPr>
          <w:t>事</w:t>
        </w:r>
        <w:bookmarkEnd w:id="0"/>
        <w:bookmarkEnd w:id="1"/>
        <w:r>
          <w:rPr>
            <w:rStyle w:val="af1"/>
            <w:rFonts w:ascii="宋体" w:hAnsi="宋体" w:hint="eastAsia"/>
            <w:noProof/>
            <w:sz w:val="24"/>
          </w:rPr>
          <w:t>人</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PAGEREF _Toc124325885 \h </w:instrText>
        </w:r>
        <w:r>
          <w:rPr>
            <w:rFonts w:ascii="宋体" w:hAnsi="宋体" w:hint="eastAsia"/>
            <w:noProof/>
            <w:sz w:val="24"/>
          </w:rPr>
        </w:r>
        <w:r>
          <w:rPr>
            <w:rFonts w:ascii="宋体" w:hAnsi="宋体" w:hint="eastAsia"/>
            <w:noProof/>
            <w:sz w:val="24"/>
          </w:rPr>
          <w:fldChar w:fldCharType="separate"/>
        </w:r>
        <w:r w:rsidR="000D3062">
          <w:rPr>
            <w:rFonts w:ascii="宋体" w:hAnsi="宋体"/>
            <w:noProof/>
            <w:sz w:val="24"/>
          </w:rPr>
          <w:t>3</w:t>
        </w:r>
        <w:r>
          <w:rPr>
            <w:rFonts w:ascii="宋体" w:hAnsi="宋体" w:hint="eastAsia"/>
            <w:noProof/>
            <w:sz w:val="24"/>
          </w:rPr>
          <w:fldChar w:fldCharType="end"/>
        </w:r>
      </w:hyperlink>
    </w:p>
    <w:p w14:paraId="355E77BC" w14:textId="44CCA600" w:rsidR="00353BD1" w:rsidRDefault="001B538E">
      <w:pPr>
        <w:pStyle w:val="23"/>
        <w:tabs>
          <w:tab w:val="right" w:leader="dot" w:pos="8494"/>
        </w:tabs>
        <w:spacing w:line="360" w:lineRule="auto"/>
        <w:rPr>
          <w:rFonts w:ascii="宋体" w:hAnsi="宋体"/>
          <w:noProof/>
          <w:sz w:val="24"/>
        </w:rPr>
      </w:pPr>
      <w:hyperlink w:anchor="_Toc124325886" w:history="1">
        <w:r w:rsidR="00064D22">
          <w:rPr>
            <w:rStyle w:val="af1"/>
            <w:rFonts w:ascii="宋体" w:hAnsi="宋体" w:hint="eastAsia"/>
            <w:noProof/>
            <w:sz w:val="24"/>
          </w:rPr>
          <w:t>二、基金托管协议的依据、目的和原则</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_Toc124325886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4</w:t>
        </w:r>
        <w:r w:rsidR="00064D22">
          <w:rPr>
            <w:rFonts w:ascii="宋体" w:hAnsi="宋体" w:hint="eastAsia"/>
            <w:noProof/>
            <w:sz w:val="24"/>
          </w:rPr>
          <w:fldChar w:fldCharType="end"/>
        </w:r>
      </w:hyperlink>
    </w:p>
    <w:p w14:paraId="04243D52" w14:textId="2291B17F" w:rsidR="00353BD1" w:rsidRDefault="001B538E">
      <w:pPr>
        <w:pStyle w:val="23"/>
        <w:tabs>
          <w:tab w:val="right" w:leader="dot" w:pos="8494"/>
        </w:tabs>
        <w:spacing w:line="360" w:lineRule="auto"/>
        <w:rPr>
          <w:rFonts w:ascii="宋体" w:hAnsi="宋体"/>
          <w:noProof/>
          <w:sz w:val="24"/>
        </w:rPr>
      </w:pPr>
      <w:hyperlink w:anchor="_Toc124325887" w:history="1">
        <w:r w:rsidR="00064D22">
          <w:rPr>
            <w:rStyle w:val="af1"/>
            <w:rFonts w:ascii="宋体" w:hAnsi="宋体" w:hint="eastAsia"/>
            <w:noProof/>
            <w:sz w:val="24"/>
          </w:rPr>
          <w:t>三、基金托管人对基金管理人的业务监督和核查</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_Toc124325887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5</w:t>
        </w:r>
        <w:r w:rsidR="00064D22">
          <w:rPr>
            <w:rFonts w:ascii="宋体" w:hAnsi="宋体" w:hint="eastAsia"/>
            <w:noProof/>
            <w:sz w:val="24"/>
          </w:rPr>
          <w:fldChar w:fldCharType="end"/>
        </w:r>
      </w:hyperlink>
    </w:p>
    <w:p w14:paraId="7D5113FB" w14:textId="471A3C9A" w:rsidR="00353BD1" w:rsidRDefault="001B538E">
      <w:pPr>
        <w:pStyle w:val="23"/>
        <w:tabs>
          <w:tab w:val="right" w:leader="dot" w:pos="8494"/>
        </w:tabs>
        <w:spacing w:line="360" w:lineRule="auto"/>
        <w:rPr>
          <w:rFonts w:ascii="宋体" w:hAnsi="宋体"/>
          <w:noProof/>
          <w:sz w:val="24"/>
        </w:rPr>
      </w:pPr>
      <w:hyperlink w:anchor="_Toc124325888" w:history="1">
        <w:r w:rsidR="00064D22">
          <w:rPr>
            <w:rStyle w:val="af1"/>
            <w:rFonts w:ascii="宋体" w:hAnsi="宋体" w:hint="eastAsia"/>
            <w:noProof/>
            <w:sz w:val="24"/>
          </w:rPr>
          <w:t>四、基金管理人对基金托管人的业务核查</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_Toc124325888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10</w:t>
        </w:r>
        <w:r w:rsidR="00064D22">
          <w:rPr>
            <w:rFonts w:ascii="宋体" w:hAnsi="宋体" w:hint="eastAsia"/>
            <w:noProof/>
            <w:sz w:val="24"/>
          </w:rPr>
          <w:fldChar w:fldCharType="end"/>
        </w:r>
      </w:hyperlink>
    </w:p>
    <w:p w14:paraId="2A786FEF" w14:textId="57F1D0B0" w:rsidR="00353BD1" w:rsidRDefault="001B538E">
      <w:pPr>
        <w:pStyle w:val="23"/>
        <w:tabs>
          <w:tab w:val="right" w:leader="dot" w:pos="8494"/>
        </w:tabs>
        <w:spacing w:line="360" w:lineRule="auto"/>
        <w:rPr>
          <w:rFonts w:ascii="宋体" w:hAnsi="宋体"/>
          <w:noProof/>
          <w:sz w:val="24"/>
        </w:rPr>
      </w:pPr>
      <w:hyperlink w:anchor="_Toc124325889" w:history="1">
        <w:r w:rsidR="00064D22">
          <w:rPr>
            <w:rStyle w:val="af1"/>
            <w:rFonts w:ascii="宋体" w:hAnsi="宋体" w:hint="eastAsia"/>
            <w:noProof/>
            <w:sz w:val="24"/>
          </w:rPr>
          <w:t>五、基金财产的保管</w:t>
        </w:r>
        <w:bookmarkStart w:id="2" w:name="_Hlt130398333"/>
        <w:bookmarkStart w:id="3" w:name="_Hlt130398332"/>
        <w:r w:rsidR="00064D22">
          <w:rPr>
            <w:rFonts w:ascii="宋体" w:hAnsi="宋体" w:hint="eastAsia"/>
            <w:noProof/>
            <w:sz w:val="24"/>
          </w:rPr>
          <w:tab/>
        </w:r>
        <w:bookmarkEnd w:id="2"/>
        <w:bookmarkEnd w:id="3"/>
        <w:r w:rsidR="00064D22">
          <w:rPr>
            <w:rFonts w:ascii="宋体" w:hAnsi="宋体" w:hint="eastAsia"/>
            <w:noProof/>
            <w:sz w:val="24"/>
          </w:rPr>
          <w:fldChar w:fldCharType="begin"/>
        </w:r>
        <w:r w:rsidR="00064D22">
          <w:rPr>
            <w:rFonts w:ascii="宋体" w:hAnsi="宋体" w:hint="eastAsia"/>
            <w:noProof/>
            <w:sz w:val="24"/>
          </w:rPr>
          <w:instrText xml:space="preserve"> PAGEREF _Toc124325889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11</w:t>
        </w:r>
        <w:r w:rsidR="00064D22">
          <w:rPr>
            <w:rFonts w:ascii="宋体" w:hAnsi="宋体" w:hint="eastAsia"/>
            <w:noProof/>
            <w:sz w:val="24"/>
          </w:rPr>
          <w:fldChar w:fldCharType="end"/>
        </w:r>
      </w:hyperlink>
    </w:p>
    <w:p w14:paraId="696ADF17" w14:textId="762C9029" w:rsidR="00353BD1" w:rsidRDefault="001B538E">
      <w:pPr>
        <w:pStyle w:val="23"/>
        <w:tabs>
          <w:tab w:val="right" w:leader="dot" w:pos="8494"/>
        </w:tabs>
        <w:spacing w:line="360" w:lineRule="auto"/>
        <w:rPr>
          <w:rFonts w:ascii="宋体" w:hAnsi="宋体"/>
          <w:noProof/>
          <w:sz w:val="24"/>
        </w:rPr>
      </w:pPr>
      <w:hyperlink w:anchor="_Toc124325890" w:history="1">
        <w:r w:rsidR="00064D22">
          <w:rPr>
            <w:rStyle w:val="af1"/>
            <w:rFonts w:ascii="宋体" w:hAnsi="宋体" w:hint="eastAsia"/>
            <w:noProof/>
            <w:sz w:val="24"/>
          </w:rPr>
          <w:t>六、指令的发送、确认及执行</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_Toc124325890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14</w:t>
        </w:r>
        <w:r w:rsidR="00064D22">
          <w:rPr>
            <w:rFonts w:ascii="宋体" w:hAnsi="宋体" w:hint="eastAsia"/>
            <w:noProof/>
            <w:sz w:val="24"/>
          </w:rPr>
          <w:fldChar w:fldCharType="end"/>
        </w:r>
      </w:hyperlink>
    </w:p>
    <w:p w14:paraId="43FD6932" w14:textId="34E743C8" w:rsidR="00353BD1" w:rsidRDefault="001B538E">
      <w:pPr>
        <w:pStyle w:val="23"/>
        <w:tabs>
          <w:tab w:val="right" w:leader="dot" w:pos="8494"/>
        </w:tabs>
        <w:spacing w:line="360" w:lineRule="auto"/>
        <w:rPr>
          <w:rFonts w:ascii="宋体" w:hAnsi="宋体"/>
          <w:noProof/>
          <w:sz w:val="24"/>
        </w:rPr>
      </w:pPr>
      <w:hyperlink w:anchor="_Toc124325891" w:history="1">
        <w:r w:rsidR="00064D22">
          <w:rPr>
            <w:rStyle w:val="af1"/>
            <w:rFonts w:ascii="宋体" w:hAnsi="宋体" w:hint="eastAsia"/>
            <w:noProof/>
            <w:sz w:val="24"/>
          </w:rPr>
          <w:t>七、交易及清算</w:t>
        </w:r>
        <w:bookmarkStart w:id="4" w:name="_Hlt497143548"/>
        <w:bookmarkStart w:id="5" w:name="_Hlt497143549"/>
        <w:r w:rsidR="00064D22">
          <w:rPr>
            <w:rStyle w:val="af1"/>
            <w:rFonts w:ascii="宋体" w:hAnsi="宋体" w:hint="eastAsia"/>
            <w:noProof/>
            <w:sz w:val="24"/>
          </w:rPr>
          <w:t>交</w:t>
        </w:r>
        <w:bookmarkEnd w:id="4"/>
        <w:bookmarkEnd w:id="5"/>
        <w:r w:rsidR="00064D22">
          <w:rPr>
            <w:rStyle w:val="af1"/>
            <w:rFonts w:ascii="宋体" w:hAnsi="宋体" w:hint="eastAsia"/>
            <w:noProof/>
            <w:sz w:val="24"/>
          </w:rPr>
          <w:t>收安</w:t>
        </w:r>
        <w:bookmarkStart w:id="6" w:name="_Hlt419449173"/>
        <w:r w:rsidR="00064D22">
          <w:rPr>
            <w:rStyle w:val="af1"/>
            <w:rFonts w:ascii="宋体" w:hAnsi="宋体" w:hint="eastAsia"/>
            <w:noProof/>
            <w:sz w:val="24"/>
          </w:rPr>
          <w:t>排</w:t>
        </w:r>
        <w:bookmarkEnd w:id="6"/>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_Toc124325891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17</w:t>
        </w:r>
        <w:r w:rsidR="00064D22">
          <w:rPr>
            <w:rFonts w:ascii="宋体" w:hAnsi="宋体" w:hint="eastAsia"/>
            <w:noProof/>
            <w:sz w:val="24"/>
          </w:rPr>
          <w:fldChar w:fldCharType="end"/>
        </w:r>
      </w:hyperlink>
    </w:p>
    <w:p w14:paraId="6BB975F5" w14:textId="401A774B" w:rsidR="00353BD1" w:rsidRDefault="001B538E">
      <w:pPr>
        <w:pStyle w:val="23"/>
        <w:tabs>
          <w:tab w:val="right" w:leader="dot" w:pos="8494"/>
        </w:tabs>
        <w:spacing w:line="360" w:lineRule="auto"/>
        <w:rPr>
          <w:rFonts w:ascii="宋体" w:hAnsi="宋体"/>
          <w:noProof/>
          <w:sz w:val="24"/>
        </w:rPr>
      </w:pPr>
      <w:hyperlink w:anchor="_Toc124325892" w:history="1">
        <w:r w:rsidR="00064D22">
          <w:rPr>
            <w:rStyle w:val="af1"/>
            <w:rFonts w:ascii="宋体" w:hAnsi="宋体" w:hint="eastAsia"/>
            <w:noProof/>
            <w:sz w:val="24"/>
          </w:rPr>
          <w:t>八、基金资产净值</w:t>
        </w:r>
        <w:bookmarkStart w:id="7" w:name="_Hlt419449178"/>
        <w:r w:rsidR="00064D22">
          <w:rPr>
            <w:rStyle w:val="af1"/>
            <w:rFonts w:ascii="宋体" w:hAnsi="宋体" w:hint="eastAsia"/>
            <w:noProof/>
            <w:sz w:val="24"/>
          </w:rPr>
          <w:t>计</w:t>
        </w:r>
        <w:bookmarkEnd w:id="7"/>
        <w:r w:rsidR="00064D22">
          <w:rPr>
            <w:rStyle w:val="af1"/>
            <w:rFonts w:ascii="宋体" w:hAnsi="宋体" w:hint="eastAsia"/>
            <w:noProof/>
            <w:sz w:val="24"/>
          </w:rPr>
          <w:t>算和会</w:t>
        </w:r>
        <w:bookmarkStart w:id="8" w:name="_GoBack"/>
        <w:bookmarkEnd w:id="8"/>
        <w:r w:rsidR="00064D22">
          <w:rPr>
            <w:rStyle w:val="af1"/>
            <w:rFonts w:ascii="宋体" w:hAnsi="宋体" w:hint="eastAsia"/>
            <w:noProof/>
            <w:sz w:val="24"/>
          </w:rPr>
          <w:t>计核算</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_Toc124325892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22</w:t>
        </w:r>
        <w:r w:rsidR="00064D22">
          <w:rPr>
            <w:rFonts w:ascii="宋体" w:hAnsi="宋体" w:hint="eastAsia"/>
            <w:noProof/>
            <w:sz w:val="24"/>
          </w:rPr>
          <w:fldChar w:fldCharType="end"/>
        </w:r>
      </w:hyperlink>
    </w:p>
    <w:p w14:paraId="44EF2D31" w14:textId="0A851EB4" w:rsidR="00353BD1" w:rsidRDefault="001B538E">
      <w:pPr>
        <w:pStyle w:val="23"/>
        <w:tabs>
          <w:tab w:val="right" w:leader="dot" w:pos="8494"/>
        </w:tabs>
        <w:spacing w:line="360" w:lineRule="auto"/>
        <w:rPr>
          <w:rFonts w:ascii="宋体" w:hAnsi="宋体"/>
          <w:noProof/>
          <w:sz w:val="24"/>
        </w:rPr>
      </w:pPr>
      <w:hyperlink w:anchor="_Toc124325893" w:history="1">
        <w:r w:rsidR="00064D22">
          <w:rPr>
            <w:rStyle w:val="af1"/>
            <w:rFonts w:ascii="宋体" w:hAnsi="宋体" w:hint="eastAsia"/>
            <w:noProof/>
            <w:sz w:val="24"/>
          </w:rPr>
          <w:t>九、基金收益分配</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_Toc124325893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28</w:t>
        </w:r>
        <w:r w:rsidR="00064D22">
          <w:rPr>
            <w:rFonts w:ascii="宋体" w:hAnsi="宋体" w:hint="eastAsia"/>
            <w:noProof/>
            <w:sz w:val="24"/>
          </w:rPr>
          <w:fldChar w:fldCharType="end"/>
        </w:r>
      </w:hyperlink>
    </w:p>
    <w:p w14:paraId="26A58DF0" w14:textId="49F940DD" w:rsidR="00353BD1" w:rsidRDefault="001B538E">
      <w:pPr>
        <w:pStyle w:val="23"/>
        <w:tabs>
          <w:tab w:val="right" w:leader="dot" w:pos="8494"/>
        </w:tabs>
        <w:spacing w:line="360" w:lineRule="auto"/>
        <w:rPr>
          <w:rFonts w:ascii="宋体" w:hAnsi="宋体"/>
          <w:noProof/>
          <w:sz w:val="24"/>
        </w:rPr>
      </w:pPr>
      <w:hyperlink w:anchor="_Toc124325894" w:history="1">
        <w:r w:rsidR="00064D22">
          <w:rPr>
            <w:rStyle w:val="af1"/>
            <w:rFonts w:ascii="宋体" w:hAnsi="宋体" w:hint="eastAsia"/>
            <w:noProof/>
            <w:sz w:val="24"/>
          </w:rPr>
          <w:t>十、基金信息披露</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_Toc124325894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29</w:t>
        </w:r>
        <w:r w:rsidR="00064D22">
          <w:rPr>
            <w:rFonts w:ascii="宋体" w:hAnsi="宋体" w:hint="eastAsia"/>
            <w:noProof/>
            <w:sz w:val="24"/>
          </w:rPr>
          <w:fldChar w:fldCharType="end"/>
        </w:r>
      </w:hyperlink>
    </w:p>
    <w:p w14:paraId="3843018F" w14:textId="11885D79" w:rsidR="00353BD1" w:rsidRDefault="001B538E">
      <w:pPr>
        <w:pStyle w:val="23"/>
        <w:tabs>
          <w:tab w:val="right" w:leader="dot" w:pos="8494"/>
        </w:tabs>
        <w:spacing w:line="360" w:lineRule="auto"/>
        <w:rPr>
          <w:rFonts w:ascii="宋体" w:hAnsi="宋体"/>
          <w:noProof/>
          <w:sz w:val="24"/>
        </w:rPr>
      </w:pPr>
      <w:hyperlink w:anchor="_Toc124325895" w:history="1">
        <w:r w:rsidR="00064D22">
          <w:rPr>
            <w:rStyle w:val="af1"/>
            <w:rFonts w:ascii="宋体" w:hAnsi="宋体" w:hint="eastAsia"/>
            <w:noProof/>
            <w:sz w:val="24"/>
          </w:rPr>
          <w:t>十一、基金费用</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_Toc124325895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31</w:t>
        </w:r>
        <w:r w:rsidR="00064D22">
          <w:rPr>
            <w:rFonts w:ascii="宋体" w:hAnsi="宋体" w:hint="eastAsia"/>
            <w:noProof/>
            <w:sz w:val="24"/>
          </w:rPr>
          <w:fldChar w:fldCharType="end"/>
        </w:r>
      </w:hyperlink>
    </w:p>
    <w:p w14:paraId="7D9FAED3" w14:textId="7E4514C1" w:rsidR="00353BD1" w:rsidRDefault="001B538E">
      <w:pPr>
        <w:pStyle w:val="23"/>
        <w:tabs>
          <w:tab w:val="right" w:leader="dot" w:pos="8494"/>
        </w:tabs>
        <w:spacing w:line="360" w:lineRule="auto"/>
        <w:rPr>
          <w:rFonts w:ascii="宋体" w:hAnsi="宋体"/>
          <w:noProof/>
          <w:sz w:val="24"/>
        </w:rPr>
      </w:pPr>
      <w:hyperlink w:anchor="_Toc124325896" w:history="1">
        <w:r w:rsidR="00064D22">
          <w:rPr>
            <w:rStyle w:val="af1"/>
            <w:rFonts w:ascii="宋体" w:hAnsi="宋体" w:hint="eastAsia"/>
            <w:noProof/>
            <w:sz w:val="24"/>
          </w:rPr>
          <w:t>十二、基金份额持有人名册的保管</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_Toc124325896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36</w:t>
        </w:r>
        <w:r w:rsidR="00064D22">
          <w:rPr>
            <w:rFonts w:ascii="宋体" w:hAnsi="宋体" w:hint="eastAsia"/>
            <w:noProof/>
            <w:sz w:val="24"/>
          </w:rPr>
          <w:fldChar w:fldCharType="end"/>
        </w:r>
      </w:hyperlink>
    </w:p>
    <w:p w14:paraId="7202D9B9" w14:textId="056DC2F8" w:rsidR="00353BD1" w:rsidRDefault="001B538E">
      <w:pPr>
        <w:pStyle w:val="23"/>
        <w:tabs>
          <w:tab w:val="right" w:leader="dot" w:pos="8494"/>
        </w:tabs>
        <w:spacing w:line="360" w:lineRule="auto"/>
        <w:rPr>
          <w:rFonts w:ascii="宋体" w:hAnsi="宋体"/>
          <w:noProof/>
          <w:sz w:val="24"/>
        </w:rPr>
      </w:pPr>
      <w:hyperlink w:anchor="_Toc124325897" w:history="1">
        <w:r w:rsidR="00064D22">
          <w:rPr>
            <w:rStyle w:val="af1"/>
            <w:rFonts w:ascii="宋体" w:hAnsi="宋体" w:hint="eastAsia"/>
            <w:noProof/>
            <w:sz w:val="24"/>
          </w:rPr>
          <w:t>十三、基金有关文件档案的保存</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_Toc124325897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36</w:t>
        </w:r>
        <w:r w:rsidR="00064D22">
          <w:rPr>
            <w:rFonts w:ascii="宋体" w:hAnsi="宋体" w:hint="eastAsia"/>
            <w:noProof/>
            <w:sz w:val="24"/>
          </w:rPr>
          <w:fldChar w:fldCharType="end"/>
        </w:r>
      </w:hyperlink>
    </w:p>
    <w:p w14:paraId="72677ED2" w14:textId="793E0398" w:rsidR="00353BD1" w:rsidRDefault="001B538E">
      <w:pPr>
        <w:pStyle w:val="23"/>
        <w:tabs>
          <w:tab w:val="right" w:leader="dot" w:pos="8494"/>
        </w:tabs>
        <w:spacing w:line="360" w:lineRule="auto"/>
        <w:rPr>
          <w:rFonts w:ascii="宋体" w:hAnsi="宋体"/>
          <w:noProof/>
          <w:sz w:val="24"/>
        </w:rPr>
      </w:pPr>
      <w:hyperlink w:anchor="_Toc124325898" w:history="1">
        <w:r w:rsidR="00064D22">
          <w:rPr>
            <w:rStyle w:val="af1"/>
            <w:rFonts w:ascii="宋体" w:hAnsi="宋体" w:hint="eastAsia"/>
            <w:noProof/>
            <w:sz w:val="24"/>
          </w:rPr>
          <w:t>十四、基金管理人和基金托管人的更换</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_Toc124325898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37</w:t>
        </w:r>
        <w:r w:rsidR="00064D22">
          <w:rPr>
            <w:rFonts w:ascii="宋体" w:hAnsi="宋体" w:hint="eastAsia"/>
            <w:noProof/>
            <w:sz w:val="24"/>
          </w:rPr>
          <w:fldChar w:fldCharType="end"/>
        </w:r>
      </w:hyperlink>
    </w:p>
    <w:p w14:paraId="07793ECB" w14:textId="3AFA77D8" w:rsidR="00353BD1" w:rsidRDefault="001B538E">
      <w:pPr>
        <w:pStyle w:val="23"/>
        <w:tabs>
          <w:tab w:val="right" w:leader="dot" w:pos="8494"/>
        </w:tabs>
        <w:spacing w:line="360" w:lineRule="auto"/>
        <w:rPr>
          <w:rFonts w:ascii="宋体" w:hAnsi="宋体"/>
          <w:noProof/>
          <w:sz w:val="24"/>
        </w:rPr>
      </w:pPr>
      <w:hyperlink w:anchor="_Toc124325899" w:history="1">
        <w:r w:rsidR="00064D22">
          <w:rPr>
            <w:rStyle w:val="af1"/>
            <w:rFonts w:ascii="宋体" w:hAnsi="宋体" w:hint="eastAsia"/>
            <w:noProof/>
            <w:sz w:val="24"/>
          </w:rPr>
          <w:t>十五、禁止</w:t>
        </w:r>
        <w:bookmarkStart w:id="9" w:name="_Hlt133480885"/>
        <w:bookmarkStart w:id="10" w:name="_Hlt133480886"/>
        <w:r w:rsidR="00064D22">
          <w:rPr>
            <w:rStyle w:val="af1"/>
            <w:rFonts w:ascii="宋体" w:hAnsi="宋体" w:hint="eastAsia"/>
            <w:noProof/>
            <w:sz w:val="24"/>
          </w:rPr>
          <w:t>行</w:t>
        </w:r>
        <w:bookmarkEnd w:id="9"/>
        <w:bookmarkEnd w:id="10"/>
        <w:r w:rsidR="00064D22">
          <w:rPr>
            <w:rStyle w:val="af1"/>
            <w:rFonts w:ascii="宋体" w:hAnsi="宋体" w:hint="eastAsia"/>
            <w:noProof/>
            <w:sz w:val="24"/>
          </w:rPr>
          <w:t>为</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_Toc124325899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39</w:t>
        </w:r>
        <w:r w:rsidR="00064D22">
          <w:rPr>
            <w:rFonts w:ascii="宋体" w:hAnsi="宋体" w:hint="eastAsia"/>
            <w:noProof/>
            <w:sz w:val="24"/>
          </w:rPr>
          <w:fldChar w:fldCharType="end"/>
        </w:r>
      </w:hyperlink>
    </w:p>
    <w:p w14:paraId="516AB901" w14:textId="02641535" w:rsidR="00353BD1" w:rsidRDefault="001B538E">
      <w:pPr>
        <w:pStyle w:val="23"/>
        <w:tabs>
          <w:tab w:val="right" w:leader="dot" w:pos="8494"/>
        </w:tabs>
        <w:spacing w:line="360" w:lineRule="auto"/>
        <w:rPr>
          <w:rFonts w:ascii="宋体" w:hAnsi="宋体"/>
          <w:noProof/>
          <w:sz w:val="24"/>
        </w:rPr>
      </w:pPr>
      <w:hyperlink w:anchor="_Toc124325900" w:history="1">
        <w:r w:rsidR="00064D22">
          <w:rPr>
            <w:rStyle w:val="af1"/>
            <w:rFonts w:ascii="宋体" w:hAnsi="宋体" w:hint="eastAsia"/>
            <w:noProof/>
            <w:sz w:val="24"/>
          </w:rPr>
          <w:t>十六、托管协议的变更、终止与基金财产的清算</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_Toc124325900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40</w:t>
        </w:r>
        <w:r w:rsidR="00064D22">
          <w:rPr>
            <w:rFonts w:ascii="宋体" w:hAnsi="宋体" w:hint="eastAsia"/>
            <w:noProof/>
            <w:sz w:val="24"/>
          </w:rPr>
          <w:fldChar w:fldCharType="end"/>
        </w:r>
      </w:hyperlink>
    </w:p>
    <w:p w14:paraId="06482B3E" w14:textId="41CC0B35" w:rsidR="00353BD1" w:rsidRDefault="001B538E">
      <w:pPr>
        <w:pStyle w:val="23"/>
        <w:tabs>
          <w:tab w:val="right" w:leader="dot" w:pos="8494"/>
        </w:tabs>
        <w:spacing w:line="360" w:lineRule="auto"/>
        <w:rPr>
          <w:rFonts w:ascii="宋体" w:hAnsi="宋体"/>
          <w:noProof/>
          <w:sz w:val="24"/>
        </w:rPr>
      </w:pPr>
      <w:hyperlink w:anchor="_Toc124325901" w:history="1">
        <w:r w:rsidR="00064D22">
          <w:rPr>
            <w:rStyle w:val="af1"/>
            <w:rFonts w:ascii="宋体" w:hAnsi="宋体" w:hint="eastAsia"/>
            <w:noProof/>
            <w:sz w:val="24"/>
          </w:rPr>
          <w:t>十七、违约责任</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_Toc124325901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41</w:t>
        </w:r>
        <w:r w:rsidR="00064D22">
          <w:rPr>
            <w:rFonts w:ascii="宋体" w:hAnsi="宋体" w:hint="eastAsia"/>
            <w:noProof/>
            <w:sz w:val="24"/>
          </w:rPr>
          <w:fldChar w:fldCharType="end"/>
        </w:r>
      </w:hyperlink>
    </w:p>
    <w:p w14:paraId="19AF8EC4" w14:textId="7BB9845E" w:rsidR="00353BD1" w:rsidRDefault="001B538E">
      <w:pPr>
        <w:pStyle w:val="23"/>
        <w:tabs>
          <w:tab w:val="right" w:leader="dot" w:pos="8494"/>
        </w:tabs>
        <w:spacing w:line="360" w:lineRule="auto"/>
        <w:rPr>
          <w:rFonts w:ascii="宋体" w:hAnsi="宋体"/>
          <w:noProof/>
          <w:sz w:val="24"/>
        </w:rPr>
      </w:pPr>
      <w:hyperlink w:anchor="_Toc124325902" w:history="1">
        <w:r w:rsidR="00064D22">
          <w:rPr>
            <w:rStyle w:val="af1"/>
            <w:rFonts w:ascii="宋体" w:hAnsi="宋体" w:hint="eastAsia"/>
            <w:noProof/>
            <w:sz w:val="24"/>
          </w:rPr>
          <w:t>十八、争议解决方式</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_Toc124325902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42</w:t>
        </w:r>
        <w:r w:rsidR="00064D22">
          <w:rPr>
            <w:rFonts w:ascii="宋体" w:hAnsi="宋体" w:hint="eastAsia"/>
            <w:noProof/>
            <w:sz w:val="24"/>
          </w:rPr>
          <w:fldChar w:fldCharType="end"/>
        </w:r>
      </w:hyperlink>
    </w:p>
    <w:p w14:paraId="7F04B33D" w14:textId="5E6D6780" w:rsidR="00353BD1" w:rsidRDefault="001B538E">
      <w:pPr>
        <w:pStyle w:val="23"/>
        <w:tabs>
          <w:tab w:val="right" w:leader="dot" w:pos="8494"/>
        </w:tabs>
        <w:spacing w:line="360" w:lineRule="auto"/>
        <w:rPr>
          <w:rFonts w:ascii="宋体" w:hAnsi="宋体"/>
          <w:noProof/>
          <w:sz w:val="24"/>
        </w:rPr>
      </w:pPr>
      <w:hyperlink w:anchor="_Toc124325903" w:history="1">
        <w:r w:rsidR="00064D22">
          <w:rPr>
            <w:rStyle w:val="af1"/>
            <w:rFonts w:ascii="宋体" w:hAnsi="宋体" w:hint="eastAsia"/>
            <w:noProof/>
            <w:sz w:val="24"/>
          </w:rPr>
          <w:t>十九、托管协议的效力</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_Toc124325903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43</w:t>
        </w:r>
        <w:r w:rsidR="00064D22">
          <w:rPr>
            <w:rFonts w:ascii="宋体" w:hAnsi="宋体" w:hint="eastAsia"/>
            <w:noProof/>
            <w:sz w:val="24"/>
          </w:rPr>
          <w:fldChar w:fldCharType="end"/>
        </w:r>
      </w:hyperlink>
    </w:p>
    <w:p w14:paraId="725D3AA5" w14:textId="519D8359" w:rsidR="00353BD1" w:rsidRDefault="001B538E">
      <w:pPr>
        <w:pStyle w:val="23"/>
        <w:tabs>
          <w:tab w:val="right" w:leader="dot" w:pos="8494"/>
        </w:tabs>
        <w:spacing w:line="360" w:lineRule="auto"/>
        <w:rPr>
          <w:rFonts w:ascii="宋体" w:hAnsi="宋体"/>
          <w:noProof/>
          <w:sz w:val="24"/>
        </w:rPr>
      </w:pPr>
      <w:hyperlink w:anchor="_Toc124325904" w:history="1">
        <w:r w:rsidR="00064D22">
          <w:rPr>
            <w:rStyle w:val="af1"/>
            <w:rFonts w:ascii="宋体" w:hAnsi="宋体" w:hint="eastAsia"/>
            <w:noProof/>
            <w:sz w:val="24"/>
          </w:rPr>
          <w:t>二十、其他事项</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_Toc124325904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43</w:t>
        </w:r>
        <w:r w:rsidR="00064D22">
          <w:rPr>
            <w:rFonts w:ascii="宋体" w:hAnsi="宋体" w:hint="eastAsia"/>
            <w:noProof/>
            <w:sz w:val="24"/>
          </w:rPr>
          <w:fldChar w:fldCharType="end"/>
        </w:r>
      </w:hyperlink>
    </w:p>
    <w:p w14:paraId="7D9FC625" w14:textId="7700040A" w:rsidR="00353BD1" w:rsidRDefault="001B538E">
      <w:pPr>
        <w:pStyle w:val="23"/>
        <w:tabs>
          <w:tab w:val="right" w:leader="dot" w:pos="8494"/>
        </w:tabs>
        <w:spacing w:line="360" w:lineRule="auto"/>
        <w:rPr>
          <w:rFonts w:ascii="宋体" w:hAnsi="宋体"/>
          <w:noProof/>
          <w:sz w:val="24"/>
        </w:rPr>
      </w:pPr>
      <w:hyperlink w:anchor="_Toc124325905" w:history="1">
        <w:r w:rsidR="00064D22">
          <w:rPr>
            <w:rStyle w:val="af1"/>
            <w:rFonts w:ascii="宋体" w:hAnsi="宋体" w:hint="eastAsia"/>
            <w:noProof/>
            <w:sz w:val="24"/>
          </w:rPr>
          <w:t>二十一、托管协议的签订</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_Toc124325905 \h </w:instrText>
        </w:r>
        <w:r w:rsidR="00064D22">
          <w:rPr>
            <w:rFonts w:ascii="宋体" w:hAnsi="宋体" w:hint="eastAsia"/>
            <w:noProof/>
            <w:sz w:val="24"/>
          </w:rPr>
        </w:r>
        <w:r w:rsidR="00064D22">
          <w:rPr>
            <w:rFonts w:ascii="宋体" w:hAnsi="宋体" w:hint="eastAsia"/>
            <w:noProof/>
            <w:sz w:val="24"/>
          </w:rPr>
          <w:fldChar w:fldCharType="separate"/>
        </w:r>
        <w:r w:rsidR="000D3062">
          <w:rPr>
            <w:rFonts w:ascii="宋体" w:hAnsi="宋体"/>
            <w:noProof/>
            <w:sz w:val="24"/>
          </w:rPr>
          <w:t>44</w:t>
        </w:r>
        <w:r w:rsidR="00064D22">
          <w:rPr>
            <w:rFonts w:ascii="宋体" w:hAnsi="宋体" w:hint="eastAsia"/>
            <w:noProof/>
            <w:sz w:val="24"/>
          </w:rPr>
          <w:fldChar w:fldCharType="end"/>
        </w:r>
      </w:hyperlink>
    </w:p>
    <w:p w14:paraId="75818388" w14:textId="77777777" w:rsidR="00353BD1" w:rsidRDefault="00064D22">
      <w:pPr>
        <w:spacing w:line="360" w:lineRule="auto"/>
        <w:rPr>
          <w:rFonts w:ascii="宋体" w:hAnsi="宋体"/>
          <w:sz w:val="28"/>
        </w:rPr>
      </w:pPr>
      <w:r>
        <w:rPr>
          <w:rFonts w:ascii="宋体" w:hAnsi="宋体" w:hint="eastAsia"/>
          <w:sz w:val="28"/>
        </w:rPr>
        <w:fldChar w:fldCharType="end"/>
      </w:r>
    </w:p>
    <w:p w14:paraId="049FEF9F" w14:textId="77777777" w:rsidR="00353BD1" w:rsidRDefault="00064D22">
      <w:pPr>
        <w:widowControl/>
        <w:jc w:val="left"/>
        <w:rPr>
          <w:rFonts w:ascii="宋体" w:hAnsi="宋体"/>
          <w:sz w:val="28"/>
        </w:rPr>
      </w:pPr>
      <w:r>
        <w:rPr>
          <w:rFonts w:ascii="宋体" w:hAnsi="宋体"/>
          <w:sz w:val="28"/>
        </w:rPr>
        <w:br w:type="page"/>
      </w:r>
    </w:p>
    <w:p w14:paraId="06B859F1" w14:textId="77777777" w:rsidR="00353BD1" w:rsidRDefault="00353BD1">
      <w:pPr>
        <w:spacing w:line="360" w:lineRule="auto"/>
        <w:rPr>
          <w:rFonts w:ascii="宋体" w:hAnsi="宋体"/>
          <w:sz w:val="24"/>
        </w:rPr>
      </w:pPr>
    </w:p>
    <w:p w14:paraId="695F2859" w14:textId="77777777"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鉴于广发基金管理有限公司系一家依照中国法律合法成立并有效存续的有限责任公司，按照相关法律法规的规定具备担任基金管理人的资格和能力，拟募集发行广发质量优选股票型证券投资基金；</w:t>
      </w:r>
    </w:p>
    <w:p w14:paraId="029BC836" w14:textId="77777777"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2D5C65FB" w14:textId="77777777"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鉴于广发基金管理有限公司拟担任广发质量优选股票型证券投资基金的基金管理人，中国建设银行股份有限公司拟担任广发质量优选股票型证券投资基金的基金托管人；</w:t>
      </w:r>
    </w:p>
    <w:p w14:paraId="4CC12806" w14:textId="77777777"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为明确广发质量优选股票型证券投资基金的基金管理人和基金托管人之间的权利义务关系，特制订本托管协议；</w:t>
      </w:r>
    </w:p>
    <w:p w14:paraId="292956DB" w14:textId="77777777" w:rsidR="00353BD1" w:rsidRDefault="00064D22">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除非另有约定，《广发质量优选股票型证券投资基金基金合同》(以下简称“基金合同”)中定义的术语在用于本托管协议时应具有相同的含义；若有抵触应以《基金合同》为准，并依其</w:t>
      </w:r>
      <w:r>
        <w:rPr>
          <w:rFonts w:ascii="宋体" w:hAnsi="宋体" w:cs="Arial" w:hint="eastAsia"/>
          <w:kern w:val="0"/>
          <w:sz w:val="24"/>
        </w:rPr>
        <w:t>条款</w:t>
      </w:r>
      <w:r>
        <w:rPr>
          <w:rFonts w:ascii="宋体" w:hAnsi="宋体" w:cs="Arial" w:hint="eastAsia"/>
          <w:kern w:val="0"/>
          <w:sz w:val="24"/>
          <w:lang w:val="en-GB"/>
        </w:rPr>
        <w:t>解释。</w:t>
      </w:r>
    </w:p>
    <w:p w14:paraId="31F5DFE2" w14:textId="77777777" w:rsidR="00353BD1" w:rsidRDefault="00353BD1">
      <w:pPr>
        <w:spacing w:line="360" w:lineRule="auto"/>
        <w:rPr>
          <w:rFonts w:ascii="宋体" w:hAnsi="宋体"/>
          <w:sz w:val="24"/>
          <w:lang w:val="en-GB"/>
        </w:rPr>
      </w:pPr>
    </w:p>
    <w:p w14:paraId="409AB027" w14:textId="77777777" w:rsidR="00353BD1" w:rsidRDefault="00064D22">
      <w:pPr>
        <w:pStyle w:val="2"/>
        <w:spacing w:line="360" w:lineRule="auto"/>
        <w:jc w:val="center"/>
        <w:rPr>
          <w:rFonts w:ascii="宋体" w:eastAsia="宋体" w:hAnsi="宋体"/>
        </w:rPr>
      </w:pPr>
      <w:bookmarkStart w:id="11" w:name="_Toc124325885"/>
      <w:r>
        <w:rPr>
          <w:rFonts w:ascii="宋体" w:eastAsia="宋体" w:hAnsi="宋体" w:hint="eastAsia"/>
        </w:rPr>
        <w:t>一、基金托管协议当事人</w:t>
      </w:r>
      <w:bookmarkEnd w:id="11"/>
    </w:p>
    <w:p w14:paraId="096493D9"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w:t>
      </w:r>
    </w:p>
    <w:p w14:paraId="7288B0D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名称：广发基金管理有限公司</w:t>
      </w:r>
    </w:p>
    <w:p w14:paraId="00F50D1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注册地址：广东省珠海市横琴新区环岛东路3018号2608室</w:t>
      </w:r>
    </w:p>
    <w:p w14:paraId="5404BF5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办公地址：广东省广州市海珠区琶洲大道东1号保利国际广场南塔31－33楼；广东省珠海市横琴新区环岛东路3018号2603-2622室</w:t>
      </w:r>
    </w:p>
    <w:p w14:paraId="552C5F9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w:t>
      </w:r>
      <w:r>
        <w:rPr>
          <w:rFonts w:ascii="宋体" w:hAnsi="宋体" w:cs="Arial"/>
          <w:sz w:val="24"/>
        </w:rPr>
        <w:t>510308</w:t>
      </w:r>
    </w:p>
    <w:p w14:paraId="225C0F0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法定代表人：葛长伟</w:t>
      </w:r>
    </w:p>
    <w:p w14:paraId="40B8697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w:t>
      </w:r>
      <w:r>
        <w:rPr>
          <w:rStyle w:val="read"/>
          <w:rFonts w:ascii="宋体" w:hAnsi="宋体" w:cs="Arial" w:hint="eastAsia"/>
          <w:sz w:val="24"/>
        </w:rPr>
        <w:t>2003年8月5日</w:t>
      </w:r>
    </w:p>
    <w:p w14:paraId="7DB2B4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批准设立机关及批准设立文号：中国证监会证监基字</w:t>
      </w:r>
      <w:r>
        <w:rPr>
          <w:rStyle w:val="read"/>
          <w:rFonts w:ascii="宋体" w:hAnsi="宋体" w:cs="Arial" w:hint="eastAsia"/>
          <w:sz w:val="24"/>
        </w:rPr>
        <w:t>[</w:t>
      </w:r>
      <w:r>
        <w:rPr>
          <w:rStyle w:val="read"/>
          <w:rFonts w:ascii="宋体" w:hAnsi="宋体" w:cs="Arial"/>
          <w:sz w:val="24"/>
        </w:rPr>
        <w:t>2003</w:t>
      </w:r>
      <w:r>
        <w:rPr>
          <w:rStyle w:val="read"/>
          <w:rFonts w:ascii="宋体" w:hAnsi="宋体" w:cs="Arial" w:hint="eastAsia"/>
          <w:sz w:val="24"/>
        </w:rPr>
        <w:t>]</w:t>
      </w:r>
      <w:r>
        <w:rPr>
          <w:rStyle w:val="read"/>
          <w:rFonts w:ascii="宋体" w:hAnsi="宋体" w:cs="Arial"/>
          <w:sz w:val="24"/>
        </w:rPr>
        <w:t>91</w:t>
      </w:r>
      <w:r>
        <w:rPr>
          <w:rFonts w:ascii="宋体" w:hAnsi="宋体" w:cs="Arial" w:hint="eastAsia"/>
          <w:sz w:val="24"/>
        </w:rPr>
        <w:t>号</w:t>
      </w:r>
    </w:p>
    <w:p w14:paraId="4BBE9EE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组织形式：有限责任公司</w:t>
      </w:r>
    </w:p>
    <w:p w14:paraId="6AE3615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注册资本：14,097.8万元人民币</w:t>
      </w:r>
    </w:p>
    <w:p w14:paraId="3019CA0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68693C5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经营范围：基金募集、基金销售、资产管理和中国证监会许可的其他业务</w:t>
      </w:r>
    </w:p>
    <w:p w14:paraId="283D0431"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（二）基金托管人</w:t>
      </w:r>
    </w:p>
    <w:p w14:paraId="47D687D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名称：中国建设银行股份有限公司(简称：中国建设银行)</w:t>
      </w:r>
    </w:p>
    <w:p w14:paraId="0C2549B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住所：北京市西城区金融大街25号</w:t>
      </w:r>
    </w:p>
    <w:p w14:paraId="0D8A0E2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办公地址：北京市西城区闹市口大街1号院1号楼</w:t>
      </w:r>
    </w:p>
    <w:p w14:paraId="044DE71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邮政编码：100033</w:t>
      </w:r>
    </w:p>
    <w:p w14:paraId="3BA7B0B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法定代表人：张金良</w:t>
      </w:r>
    </w:p>
    <w:p w14:paraId="2B33B91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成立日期：2004年09月17日</w:t>
      </w:r>
    </w:p>
    <w:p w14:paraId="7A4FB7C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基金托管业务批准文号：中国证监会证监基字[1998</w:t>
      </w:r>
      <w:bookmarkStart w:id="12" w:name="OLE_LINK3"/>
      <w:r>
        <w:rPr>
          <w:rFonts w:ascii="宋体" w:hAnsi="宋体" w:cs="Arial" w:hint="eastAsia"/>
          <w:sz w:val="24"/>
        </w:rPr>
        <w:t>]</w:t>
      </w:r>
      <w:bookmarkEnd w:id="12"/>
      <w:r>
        <w:rPr>
          <w:rFonts w:ascii="宋体" w:hAnsi="宋体" w:cs="Arial" w:hint="eastAsia"/>
          <w:sz w:val="24"/>
        </w:rPr>
        <w:t>12号</w:t>
      </w:r>
    </w:p>
    <w:p w14:paraId="5F4A887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组织形式：股份有限公司</w:t>
      </w:r>
    </w:p>
    <w:p w14:paraId="49620D2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w:t>
      </w:r>
      <w:r>
        <w:rPr>
          <w:rFonts w:ascii="宋体" w:hAnsi="宋体" w:hint="eastAsia"/>
          <w:sz w:val="24"/>
        </w:rPr>
        <w:t>贰仟伍佰亿壹仟零玖拾柒万柒仟肆佰捌拾陆元整</w:t>
      </w:r>
    </w:p>
    <w:p w14:paraId="51A0704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13005A71" w14:textId="77777777" w:rsidR="00353BD1" w:rsidRDefault="00064D22">
      <w:pPr>
        <w:tabs>
          <w:tab w:val="left" w:pos="540"/>
        </w:tabs>
        <w:adjustRightInd w:val="0"/>
        <w:snapToGrid w:val="0"/>
        <w:spacing w:line="360" w:lineRule="auto"/>
        <w:ind w:firstLineChars="200" w:firstLine="480"/>
        <w:rPr>
          <w:rFonts w:ascii="宋体" w:hAnsi="宋体" w:cs="Arial"/>
          <w:sz w:val="24"/>
        </w:rPr>
      </w:pPr>
      <w:r>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F9A6431" w14:textId="77777777" w:rsidR="00353BD1" w:rsidRDefault="00353BD1">
      <w:pPr>
        <w:spacing w:line="360" w:lineRule="auto"/>
        <w:rPr>
          <w:rFonts w:ascii="宋体" w:hAnsi="宋体"/>
          <w:sz w:val="24"/>
        </w:rPr>
      </w:pPr>
    </w:p>
    <w:p w14:paraId="310255B0" w14:textId="77777777" w:rsidR="00353BD1" w:rsidRDefault="00064D22">
      <w:pPr>
        <w:pStyle w:val="2"/>
        <w:spacing w:line="360" w:lineRule="auto"/>
        <w:jc w:val="center"/>
        <w:rPr>
          <w:rFonts w:ascii="宋体" w:eastAsia="宋体" w:hAnsi="宋体"/>
          <w:sz w:val="30"/>
        </w:rPr>
      </w:pPr>
      <w:bookmarkStart w:id="13" w:name="_Toc124325886"/>
      <w:r>
        <w:rPr>
          <w:rFonts w:ascii="宋体" w:eastAsia="宋体" w:hAnsi="宋体" w:hint="eastAsia"/>
          <w:sz w:val="30"/>
        </w:rPr>
        <w:t>二、基金托管协议的依据、目的和原则</w:t>
      </w:r>
      <w:bookmarkEnd w:id="13"/>
    </w:p>
    <w:p w14:paraId="419E0905" w14:textId="77777777" w:rsidR="00353BD1" w:rsidRDefault="00064D22">
      <w:pPr>
        <w:adjustRightInd w:val="0"/>
        <w:snapToGrid w:val="0"/>
        <w:spacing w:line="360" w:lineRule="auto"/>
        <w:ind w:firstLineChars="200" w:firstLine="480"/>
        <w:rPr>
          <w:rFonts w:ascii="宋体" w:hAnsi="宋体"/>
          <w:sz w:val="24"/>
          <w:szCs w:val="30"/>
        </w:rPr>
      </w:pPr>
      <w:r>
        <w:rPr>
          <w:rFonts w:ascii="宋体" w:hAnsi="宋体" w:cs="Arial" w:hint="eastAsia"/>
          <w:sz w:val="24"/>
        </w:rPr>
        <w:t>（一）订立托管协议的依据</w:t>
      </w:r>
    </w:p>
    <w:p w14:paraId="66CCD49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本协议依据《中华人民共和国证券投资基金法》(以下简称“《基金法》”)等有关法律法规、《基金合同》及其他有关规定制订。</w:t>
      </w:r>
    </w:p>
    <w:p w14:paraId="5B05760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（二）订立托管协议的目的</w:t>
      </w:r>
    </w:p>
    <w:p w14:paraId="7B8DF96E" w14:textId="77777777" w:rsidR="00353BD1" w:rsidRDefault="00064D22">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0A6D9B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（三）订立托管协议的原则</w:t>
      </w:r>
    </w:p>
    <w:p w14:paraId="6BFAF28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基金管理人和基金托管人本着平等自愿、诚实信用、充分保护基金份额持有人</w:t>
      </w:r>
      <w:r>
        <w:rPr>
          <w:rFonts w:ascii="宋体" w:hAnsi="宋体" w:cs="Arial" w:hint="eastAsia"/>
          <w:sz w:val="24"/>
        </w:rPr>
        <w:lastRenderedPageBreak/>
        <w:t>合法权益的原则，经协商一致，签订本协议。</w:t>
      </w:r>
    </w:p>
    <w:p w14:paraId="153830D1" w14:textId="77777777" w:rsidR="00353BD1" w:rsidRDefault="00353BD1">
      <w:pPr>
        <w:spacing w:line="360" w:lineRule="auto"/>
        <w:rPr>
          <w:rFonts w:ascii="宋体" w:hAnsi="宋体"/>
          <w:sz w:val="24"/>
        </w:rPr>
      </w:pPr>
    </w:p>
    <w:p w14:paraId="27B585E3" w14:textId="77777777" w:rsidR="00353BD1" w:rsidRDefault="00064D22">
      <w:pPr>
        <w:pStyle w:val="2"/>
        <w:spacing w:line="360" w:lineRule="auto"/>
        <w:jc w:val="center"/>
        <w:rPr>
          <w:rFonts w:ascii="宋体" w:eastAsia="宋体" w:hAnsi="宋体"/>
          <w:sz w:val="30"/>
        </w:rPr>
      </w:pPr>
      <w:bookmarkStart w:id="14" w:name="_Toc124325887"/>
      <w:r>
        <w:rPr>
          <w:rFonts w:ascii="宋体" w:eastAsia="宋体" w:hAnsi="宋体" w:hint="eastAsia"/>
          <w:sz w:val="30"/>
        </w:rPr>
        <w:t>三、基金托管人对基金管理人的业务监督和核查</w:t>
      </w:r>
      <w:bookmarkEnd w:id="14"/>
    </w:p>
    <w:p w14:paraId="79DE25A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5A56C5B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4DEAEB4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如法律法规或监管机构以后允许基金投资其他品种，基金管理人在履行适当程序后，可以将其纳入投资范围，并可依据届时有效的法律法规适时合理地调整投资范围。</w:t>
      </w:r>
    </w:p>
    <w:p w14:paraId="48518DD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为股票型基金，基金的投资组合比例为：股票资产占基金资产的比例为80%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7BBB32A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如法律法规或监管机构以后对投资比例要求有变更的，基金管理人在履行适当程序后，可以做出相应调整。</w:t>
      </w:r>
    </w:p>
    <w:p w14:paraId="5793A17D"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（二）基金托管人根据有关法律法规的规定及《基金合同》的约定，对基金投资、融资比例进行监督。基金托管人按下述比例和调整期限进行监督：</w:t>
      </w:r>
    </w:p>
    <w:p w14:paraId="55A70A7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1.股票资产占基金资产的比例为80%-95%，其中投资于港股通标的股票不超过股票资产的50%；</w:t>
      </w:r>
    </w:p>
    <w:p w14:paraId="0449006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w:t>
      </w:r>
      <w:r>
        <w:rPr>
          <w:rFonts w:ascii="宋体" w:hAnsi="宋体" w:cs="Arial" w:hint="eastAsia"/>
          <w:sz w:val="24"/>
        </w:rPr>
        <w:t>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7FA01C7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本基金持有一家公司发行的证券，其市值（同一家公司在境内和香港同时上市的A+H股合并计算）不超过基金资产净值的10%；</w:t>
      </w:r>
    </w:p>
    <w:p w14:paraId="3C7201C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w:t>
      </w:r>
      <w:r>
        <w:rPr>
          <w:rFonts w:ascii="宋体" w:hAnsi="宋体" w:cs="Arial" w:hint="eastAsia"/>
          <w:sz w:val="24"/>
        </w:rPr>
        <w:t>本基金管理人管理且由本基金托管人托管的全部基金持有一家公司发行的证券（同一家公司在境内和香港同时上市的A+H股合并计算），不超过该证券的10%；</w:t>
      </w:r>
    </w:p>
    <w:p w14:paraId="7CBA769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sz w:val="24"/>
        </w:rPr>
        <w:t>5.</w:t>
      </w:r>
      <w:r>
        <w:rPr>
          <w:rFonts w:ascii="宋体" w:hAnsi="宋体" w:cs="Arial" w:hint="eastAsia"/>
          <w:sz w:val="24"/>
        </w:rPr>
        <w:t>本基金投资于同一原始权益人的各类资产支持证券的比例，不得超过基金资产净值的10%；</w:t>
      </w:r>
    </w:p>
    <w:p w14:paraId="1863ABF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w:t>
      </w:r>
      <w:r>
        <w:rPr>
          <w:rFonts w:ascii="宋体" w:hAnsi="宋体" w:cs="Arial" w:hint="eastAsia"/>
          <w:sz w:val="24"/>
        </w:rPr>
        <w:t>本基金持有的全部资产支持证券，其市值不得超过基金资产净值的20%；</w:t>
      </w:r>
    </w:p>
    <w:p w14:paraId="42C9C09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w:t>
      </w:r>
      <w:r>
        <w:rPr>
          <w:rFonts w:ascii="宋体" w:hAnsi="宋体" w:cs="Arial"/>
          <w:sz w:val="24"/>
        </w:rPr>
        <w:t>.</w:t>
      </w:r>
      <w:r>
        <w:rPr>
          <w:rFonts w:ascii="宋体" w:hAnsi="宋体" w:cs="Arial" w:hint="eastAsia"/>
          <w:sz w:val="24"/>
        </w:rPr>
        <w:t>本基金持有的同一（指同一信用级别）资产支持证券的比例，不得超过该资产支持证券规模的10%；</w:t>
      </w:r>
    </w:p>
    <w:p w14:paraId="50EDEC6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8</w:t>
      </w:r>
      <w:r>
        <w:rPr>
          <w:rFonts w:ascii="宋体" w:hAnsi="宋体" w:cs="Arial"/>
          <w:sz w:val="24"/>
        </w:rPr>
        <w:t>.</w:t>
      </w:r>
      <w:r>
        <w:rPr>
          <w:rFonts w:ascii="宋体" w:hAnsi="宋体" w:cs="Arial" w:hint="eastAsia"/>
          <w:sz w:val="24"/>
        </w:rPr>
        <w:t>本基金管理人管理且由本基金托管人托管的全部基金投资于同一原始权益人的各类资产支持证券，不得超过其各类资产支持证券合计规模的10%；</w:t>
      </w:r>
    </w:p>
    <w:p w14:paraId="5292B77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sz w:val="24"/>
        </w:rPr>
        <w:t>9.</w:t>
      </w:r>
      <w:r>
        <w:rPr>
          <w:rFonts w:ascii="宋体"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6195CCE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0.</w:t>
      </w:r>
      <w:r>
        <w:rPr>
          <w:rFonts w:ascii="宋体" w:hAnsi="宋体" w:cs="Arial" w:hint="eastAsia"/>
          <w:sz w:val="24"/>
        </w:rPr>
        <w:t>基金财产参与股票发行申购，本基金所申报的金额不超过本基金的总资产，本基金所申报的股票数量不超过拟发行股票公司本次发行股票的总量；</w:t>
      </w:r>
    </w:p>
    <w:p w14:paraId="4AE20D2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1.</w:t>
      </w:r>
      <w:r>
        <w:rPr>
          <w:rFonts w:ascii="宋体" w:hAnsi="宋体" w:cs="Arial" w:hint="eastAsia"/>
          <w:sz w:val="24"/>
        </w:rPr>
        <w:t>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D20B36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1</w:t>
      </w:r>
      <w:r>
        <w:rPr>
          <w:rFonts w:ascii="宋体" w:hAnsi="宋体" w:cs="Arial"/>
          <w:sz w:val="24"/>
        </w:rPr>
        <w:t>2.</w:t>
      </w:r>
      <w:r>
        <w:rPr>
          <w:rFonts w:ascii="宋体" w:hAnsi="宋体" w:cs="Arial" w:hint="eastAsia"/>
          <w:sz w:val="24"/>
        </w:rPr>
        <w:t>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4A8FE690" w14:textId="25BDBB3D"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3.</w:t>
      </w:r>
      <w:r>
        <w:rPr>
          <w:rFonts w:ascii="宋体" w:hAnsi="宋体" w:cs="Arial" w:hint="eastAsia"/>
          <w:sz w:val="24"/>
        </w:rPr>
        <w:t>本基金参与股票期权交易的，应当符合下列风险控制指标要求：基金因未平仓的期权合约支付和收取的权利金总额不得超过基金资产净值的10%；未平仓的期权合约面值不得超过基金资产净值的20%。其中，合约面值按照行权价乘以合约乘数计算；</w:t>
      </w:r>
    </w:p>
    <w:p w14:paraId="0D8D023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4.</w:t>
      </w:r>
      <w:r>
        <w:rPr>
          <w:rFonts w:ascii="宋体" w:hAnsi="宋体" w:cs="Arial" w:hint="eastAsia"/>
          <w:sz w:val="24"/>
        </w:rPr>
        <w:t>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59B0B5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5.</w:t>
      </w:r>
      <w:r>
        <w:rPr>
          <w:rFonts w:ascii="宋体" w:hAnsi="宋体" w:cs="Arial"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80FD3A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6.</w:t>
      </w:r>
      <w:r>
        <w:rPr>
          <w:rFonts w:ascii="宋体" w:hAnsi="宋体" w:cs="Arial" w:hint="eastAsia"/>
          <w:sz w:val="24"/>
        </w:rPr>
        <w:t>本基金基金总资产不得超过基金净资产的140%；</w:t>
      </w:r>
    </w:p>
    <w:p w14:paraId="723700E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7.</w:t>
      </w:r>
      <w:r>
        <w:rPr>
          <w:rFonts w:ascii="宋体" w:hAnsi="宋体" w:cs="Arial" w:hint="eastAsia"/>
          <w:sz w:val="24"/>
        </w:rPr>
        <w:t>本基金投资存托凭证的比例限制依照境内上市交易的股票执行，与境内上市交易的股票合并计算；</w:t>
      </w:r>
    </w:p>
    <w:p w14:paraId="432BC02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8.</w:t>
      </w:r>
      <w:r>
        <w:rPr>
          <w:rFonts w:ascii="宋体" w:hAnsi="宋体" w:cs="Arial" w:hint="eastAsia"/>
          <w:sz w:val="24"/>
        </w:rPr>
        <w:t>法律法规及中国证监会规定的和《基金合同》约定的其他投资限制。</w:t>
      </w:r>
    </w:p>
    <w:p w14:paraId="0078087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除上述第2、9、15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17E984B7"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如果法律法规及监管政策等对上述投资组合比例限制进行变更的，如适用于本基金，基金管理人在履行适当程序后，以变更后的规定为准。法律法规或监管政策等取消上述限制的，如适用于本基金，基金管理人在履行适当程序后，则本基金投资不再受相关限制。</w:t>
      </w:r>
    </w:p>
    <w:p w14:paraId="74951EE5"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7CF284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w:t>
      </w:r>
      <w:bookmarkStart w:id="15" w:name="OLE_LINK1"/>
      <w:r>
        <w:rPr>
          <w:rFonts w:ascii="宋体" w:hAnsi="宋体" w:cs="Arial" w:hint="eastAsia"/>
          <w:sz w:val="24"/>
        </w:rPr>
        <w:t>根据有关法律法规的规定及《基金合同》的约定，</w:t>
      </w:r>
      <w:bookmarkEnd w:id="15"/>
      <w:r>
        <w:rPr>
          <w:rFonts w:ascii="宋体" w:hAnsi="宋体" w:cs="Arial" w:hint="eastAsia"/>
          <w:sz w:val="24"/>
        </w:rPr>
        <w:t>对本托管协议第十五条第（九）款基金投资禁止行为通过事后监督方式进行监督。</w:t>
      </w:r>
    </w:p>
    <w:p w14:paraId="0149B97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45CB32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73514CA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hint="eastAsia"/>
          <w:sz w:val="24"/>
        </w:rPr>
        <w:t>基金管理人投资流通受限证券，应事先根据中国证监会相关规定，明确基金投资流通受限证券的比例，</w:t>
      </w:r>
      <w:r>
        <w:rPr>
          <w:rFonts w:ascii="宋体" w:hAnsi="宋体" w:cs="Arial" w:hint="eastAsia"/>
          <w:sz w:val="24"/>
        </w:rPr>
        <w:t>制订严格的投资决策流程和风险控制制度，防范流动性风险、法律风险和操作风险等各种风险。</w:t>
      </w:r>
    </w:p>
    <w:p w14:paraId="10F6D9E7" w14:textId="77777777" w:rsidR="00353BD1" w:rsidRDefault="00064D22">
      <w:pPr>
        <w:adjustRightInd w:val="0"/>
        <w:snapToGrid w:val="0"/>
        <w:spacing w:line="360" w:lineRule="auto"/>
        <w:ind w:firstLineChars="200" w:firstLine="480"/>
        <w:rPr>
          <w:rFonts w:ascii="宋体" w:hAnsi="宋体"/>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91239B9" w14:textId="77777777" w:rsidR="00353BD1" w:rsidRDefault="00064D22">
      <w:pPr>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7B3D60FE" w14:textId="77777777" w:rsidR="00353BD1" w:rsidRDefault="00064D22">
      <w:pPr>
        <w:adjustRightInd w:val="0"/>
        <w:snapToGrid w:val="0"/>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CBEFAF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w:t>
      </w:r>
      <w:r>
        <w:rPr>
          <w:rFonts w:ascii="宋体" w:hAnsi="宋体" w:hint="eastAsia"/>
          <w:sz w:val="24"/>
        </w:rPr>
        <w:t>投资流通受限证券，不得预付任何形式的保证金。</w:t>
      </w:r>
      <w:r>
        <w:rPr>
          <w:rFonts w:ascii="宋体" w:hAnsi="宋体" w:cs="Arial" w:hint="eastAsia"/>
          <w:sz w:val="24"/>
        </w:rPr>
        <w:t>若有最新法律法规、</w:t>
      </w:r>
      <w:r>
        <w:rPr>
          <w:rFonts w:ascii="宋体" w:hAnsi="宋体" w:cs="Arial" w:hint="eastAsia"/>
          <w:sz w:val="24"/>
        </w:rPr>
        <w:lastRenderedPageBreak/>
        <w:t>监管政策变更规定的，根据最新法律法规、监管政策执行</w:t>
      </w:r>
    </w:p>
    <w:p w14:paraId="45AEB7F6" w14:textId="77777777" w:rsidR="00353BD1" w:rsidRDefault="00064D22">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5AD4374D" w14:textId="77777777" w:rsidR="00353BD1" w:rsidRDefault="00064D22">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A5A6422" w14:textId="77777777" w:rsidR="00353BD1" w:rsidRDefault="00064D22">
      <w:pPr>
        <w:spacing w:line="360" w:lineRule="auto"/>
        <w:ind w:firstLineChars="200" w:firstLine="480"/>
        <w:rPr>
          <w:rFonts w:ascii="宋体" w:hAnsi="宋体"/>
          <w:sz w:val="24"/>
        </w:rPr>
      </w:pPr>
      <w:r>
        <w:rPr>
          <w:rFonts w:ascii="宋体" w:hAnsi="宋体" w:cs="Arial" w:hint="eastAsia"/>
          <w:sz w:val="24"/>
        </w:rPr>
        <w:t>3.</w:t>
      </w:r>
      <w:r>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C03A0E" w14:textId="77777777" w:rsidR="00353BD1" w:rsidRDefault="00064D22">
      <w:pPr>
        <w:spacing w:line="360" w:lineRule="auto"/>
        <w:ind w:firstLineChars="200" w:firstLine="480"/>
        <w:rPr>
          <w:rFonts w:ascii="宋体" w:hAnsi="宋体"/>
          <w:sz w:val="24"/>
        </w:rPr>
      </w:pPr>
      <w:r>
        <w:rPr>
          <w:rFonts w:ascii="宋体" w:hAnsi="宋体" w:hint="eastAsia"/>
          <w:sz w:val="24"/>
        </w:rPr>
        <w:t>（1）中国证监会批准发行非公开发行股票的批准文件。</w:t>
      </w:r>
    </w:p>
    <w:p w14:paraId="217FEC6D" w14:textId="77777777" w:rsidR="00353BD1" w:rsidRDefault="00064D22">
      <w:pPr>
        <w:spacing w:line="360" w:lineRule="auto"/>
        <w:ind w:firstLineChars="200" w:firstLine="480"/>
        <w:rPr>
          <w:rFonts w:ascii="宋体" w:hAnsi="宋体"/>
          <w:sz w:val="24"/>
        </w:rPr>
      </w:pPr>
      <w:r>
        <w:rPr>
          <w:rFonts w:ascii="宋体" w:hAnsi="宋体" w:hint="eastAsia"/>
          <w:sz w:val="24"/>
        </w:rPr>
        <w:t>（2）非公开发行股票有关发行数量、发行价格、锁定期等发行资料。</w:t>
      </w:r>
    </w:p>
    <w:p w14:paraId="439DD40F" w14:textId="77777777" w:rsidR="00353BD1" w:rsidRDefault="00064D22">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）基金拟认购的数量、价格、总成本、账面价值。</w:t>
      </w:r>
    </w:p>
    <w:p w14:paraId="18DD21B6" w14:textId="77777777" w:rsidR="00353BD1" w:rsidRDefault="00064D22">
      <w:pPr>
        <w:spacing w:line="360" w:lineRule="auto"/>
        <w:ind w:firstLineChars="200" w:firstLine="480"/>
        <w:rPr>
          <w:rFonts w:ascii="宋体" w:hAnsi="宋体"/>
          <w:sz w:val="24"/>
        </w:rPr>
      </w:pPr>
      <w:r>
        <w:rPr>
          <w:rFonts w:ascii="宋体" w:hAnsi="宋体" w:cs="Arial" w:hint="eastAsia"/>
          <w:sz w:val="24"/>
        </w:rPr>
        <w:t>4.</w:t>
      </w:r>
      <w:r>
        <w:rPr>
          <w:rFonts w:ascii="宋体" w:hAnsi="宋体"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766309EC" w14:textId="7FF7C3FD" w:rsidR="00353BD1" w:rsidRDefault="00064D22">
      <w:pPr>
        <w:spacing w:line="360" w:lineRule="auto"/>
        <w:ind w:firstLineChars="200" w:firstLine="480"/>
        <w:rPr>
          <w:rFonts w:ascii="宋体" w:hAnsi="宋体"/>
          <w:sz w:val="24"/>
        </w:rPr>
      </w:pPr>
      <w:r>
        <w:rPr>
          <w:rFonts w:ascii="宋体" w:hAnsi="宋体" w:hint="eastAsia"/>
          <w:sz w:val="24"/>
        </w:rPr>
        <w:t>本基金有关投资流通受限证券比例如违</w:t>
      </w:r>
      <w:r w:rsidR="00DF1B07">
        <w:rPr>
          <w:rFonts w:ascii="宋体" w:hAnsi="宋体" w:hint="eastAsia"/>
          <w:sz w:val="24"/>
        </w:rPr>
        <w:t>反有关限制规定，在合理期限内未能进行及时调整，基金管理人应在两</w:t>
      </w:r>
      <w:r>
        <w:rPr>
          <w:rFonts w:ascii="宋体" w:hAnsi="宋体" w:hint="eastAsia"/>
          <w:sz w:val="24"/>
        </w:rPr>
        <w:t>日内编制临时报告书，予以公告。</w:t>
      </w:r>
    </w:p>
    <w:p w14:paraId="50809586" w14:textId="77777777" w:rsidR="00353BD1" w:rsidRDefault="00064D22">
      <w:pPr>
        <w:adjustRightInd w:val="0"/>
        <w:snapToGrid w:val="0"/>
        <w:spacing w:line="360" w:lineRule="auto"/>
        <w:ind w:firstLineChars="200" w:firstLine="480"/>
        <w:rPr>
          <w:rFonts w:ascii="宋体" w:hAnsi="宋体"/>
          <w:sz w:val="24"/>
        </w:rPr>
      </w:pPr>
      <w:r>
        <w:rPr>
          <w:rFonts w:ascii="宋体" w:hAnsi="宋体" w:cs="Arial"/>
          <w:sz w:val="24"/>
        </w:rPr>
        <w:t>5</w:t>
      </w:r>
      <w:r>
        <w:rPr>
          <w:rFonts w:ascii="宋体" w:hAnsi="宋体" w:cs="Arial" w:hint="eastAsia"/>
          <w:sz w:val="24"/>
        </w:rPr>
        <w:t>.</w:t>
      </w:r>
      <w:r>
        <w:rPr>
          <w:rFonts w:ascii="宋体" w:hAnsi="宋体" w:hint="eastAsia"/>
          <w:sz w:val="24"/>
        </w:rPr>
        <w:t>相关法律法规对基金投资流通受限证券有新规定的，从其规定。</w:t>
      </w:r>
    </w:p>
    <w:p w14:paraId="6FF51A0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w:t>
      </w:r>
      <w:r>
        <w:rPr>
          <w:rFonts w:asciiTheme="minorEastAsia" w:hAnsiTheme="minorEastAsia" w:cs="Times New Roman" w:hint="eastAsia"/>
          <w:sz w:val="24"/>
        </w:rPr>
        <w:t>各类</w:t>
      </w:r>
      <w:r>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28F3A0E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w:t>
      </w:r>
      <w:r>
        <w:rPr>
          <w:rFonts w:ascii="宋体" w:hAnsi="宋体" w:cs="Arial" w:hint="eastAsia"/>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56FD62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E770D5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484718B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6A8C3670" w14:textId="77777777" w:rsidR="00353BD1" w:rsidRDefault="00064D22">
      <w:pPr>
        <w:pStyle w:val="2"/>
        <w:spacing w:line="360" w:lineRule="auto"/>
        <w:jc w:val="center"/>
        <w:rPr>
          <w:rFonts w:ascii="宋体" w:eastAsia="宋体" w:hAnsi="宋体"/>
          <w:sz w:val="30"/>
        </w:rPr>
      </w:pPr>
      <w:bookmarkStart w:id="16" w:name="_Toc86225291"/>
      <w:bookmarkStart w:id="17" w:name="_Toc110830492"/>
      <w:bookmarkStart w:id="18" w:name="_Toc110765660"/>
      <w:bookmarkStart w:id="19" w:name="_Toc86727355"/>
      <w:bookmarkStart w:id="20" w:name="_Toc86223242"/>
      <w:bookmarkStart w:id="21" w:name="_Toc86649722"/>
      <w:bookmarkStart w:id="22" w:name="_Toc119402710"/>
      <w:bookmarkStart w:id="23" w:name="_Toc118972648"/>
      <w:bookmarkStart w:id="24" w:name="_Toc108512358"/>
      <w:bookmarkStart w:id="25" w:name="_Toc89163368"/>
      <w:bookmarkStart w:id="26" w:name="_Toc124325888"/>
      <w:bookmarkStart w:id="27" w:name="_Toc110761796"/>
      <w:bookmarkStart w:id="28" w:name="_Toc118774803"/>
      <w:bookmarkStart w:id="29" w:name="_Toc120435783"/>
      <w:bookmarkStart w:id="30" w:name="_Toc86726439"/>
      <w:bookmarkStart w:id="31" w:name="_Toc118212950"/>
      <w:bookmarkStart w:id="32" w:name="_Toc86737929"/>
      <w:r>
        <w:rPr>
          <w:rFonts w:ascii="宋体" w:eastAsia="宋体" w:hAnsi="宋体" w:hint="eastAsia"/>
          <w:sz w:val="30"/>
        </w:rPr>
        <w:t>四、基金管理人对基金托管人的业务核查</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011609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w:t>
      </w:r>
      <w:r>
        <w:rPr>
          <w:rFonts w:asciiTheme="minorEastAsia" w:hAnsiTheme="minorEastAsia" w:cs="Times New Roman" w:hint="eastAsia"/>
          <w:sz w:val="24"/>
        </w:rPr>
        <w:t>各类</w:t>
      </w:r>
      <w:r>
        <w:rPr>
          <w:rFonts w:ascii="宋体" w:hAnsi="宋体" w:cs="Arial" w:hint="eastAsia"/>
          <w:sz w:val="24"/>
        </w:rPr>
        <w:t>基金份额净值、根据基金管理人指令办理清算交收、相关信息披露和监督基金投资运作等行为。</w:t>
      </w:r>
    </w:p>
    <w:p w14:paraId="55B3955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w:t>
      </w:r>
      <w:r>
        <w:rPr>
          <w:rFonts w:ascii="宋体" w:hAnsi="宋体" w:cs="Arial" w:hint="eastAsia"/>
          <w:sz w:val="24"/>
        </w:rPr>
        <w:lastRenderedPageBreak/>
        <w:t>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575EB12"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7C80D05" w14:textId="77777777" w:rsidR="00353BD1" w:rsidRDefault="00353BD1">
      <w:pPr>
        <w:spacing w:line="360" w:lineRule="auto"/>
        <w:rPr>
          <w:rFonts w:ascii="宋体" w:hAnsi="宋体"/>
          <w:sz w:val="24"/>
        </w:rPr>
      </w:pPr>
    </w:p>
    <w:p w14:paraId="50A85FD8" w14:textId="77777777" w:rsidR="00353BD1" w:rsidRDefault="00064D22">
      <w:pPr>
        <w:pStyle w:val="2"/>
        <w:spacing w:line="360" w:lineRule="auto"/>
        <w:jc w:val="center"/>
        <w:rPr>
          <w:rFonts w:ascii="宋体" w:eastAsia="宋体" w:hAnsi="宋体"/>
          <w:sz w:val="30"/>
        </w:rPr>
      </w:pPr>
      <w:bookmarkStart w:id="33" w:name="_Toc110765661"/>
      <w:bookmarkStart w:id="34" w:name="_Toc124325889"/>
      <w:bookmarkStart w:id="35" w:name="_Toc86726440"/>
      <w:bookmarkStart w:id="36" w:name="_Toc118972649"/>
      <w:bookmarkStart w:id="37" w:name="_Toc108512359"/>
      <w:bookmarkStart w:id="38" w:name="_Toc84234388"/>
      <w:bookmarkStart w:id="39" w:name="_Toc86727356"/>
      <w:bookmarkStart w:id="40" w:name="_Toc118774804"/>
      <w:bookmarkStart w:id="41" w:name="_Toc89163369"/>
      <w:bookmarkStart w:id="42" w:name="_Toc86649723"/>
      <w:bookmarkStart w:id="43" w:name="_Toc86737930"/>
      <w:bookmarkStart w:id="44" w:name="_Toc110830493"/>
      <w:bookmarkStart w:id="45" w:name="_Toc110761797"/>
      <w:bookmarkStart w:id="46" w:name="_Toc84133786"/>
      <w:bookmarkStart w:id="47" w:name="_Toc118212951"/>
      <w:bookmarkStart w:id="48" w:name="_Toc84234435"/>
      <w:bookmarkStart w:id="49" w:name="_Toc119402711"/>
      <w:bookmarkStart w:id="50" w:name="_Toc86204789"/>
      <w:bookmarkStart w:id="51" w:name="_Toc120435784"/>
      <w:bookmarkStart w:id="52" w:name="_Toc86223243"/>
      <w:bookmarkStart w:id="53" w:name="_Toc86225292"/>
      <w:r>
        <w:rPr>
          <w:rFonts w:ascii="宋体" w:eastAsia="宋体" w:hAnsi="宋体" w:hint="eastAsia"/>
          <w:sz w:val="30"/>
        </w:rPr>
        <w:t>五、基金财产的保管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671B20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32C7276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1.基金财产应独立于基金管理人、基金托管人的固有财产。</w:t>
      </w:r>
    </w:p>
    <w:p w14:paraId="1D3FA67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2DE1C30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w:t>
      </w:r>
    </w:p>
    <w:p w14:paraId="4902B17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4.基金托管人对所托管的不同基金财产分别设置账户，确保基金财产的完整与独立。</w:t>
      </w:r>
    </w:p>
    <w:p w14:paraId="075DF8B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3B1C6FC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CFA296C"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w:t>
      </w:r>
      <w:r>
        <w:rPr>
          <w:rFonts w:ascii="宋体" w:hAnsi="宋体" w:cs="Arial" w:hint="eastAsia"/>
          <w:sz w:val="24"/>
        </w:rPr>
        <w:lastRenderedPageBreak/>
        <w:t>基金财产。</w:t>
      </w:r>
    </w:p>
    <w:p w14:paraId="3413EA2E"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7B0BA74C" w14:textId="7DD899DB"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1.基金募集期间募集的资金应存于“基金募集专户”。该账户由基金管理人开立并管理。</w:t>
      </w:r>
    </w:p>
    <w:p w14:paraId="091DFE7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5EB86F8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3.若基金募集期限届满，未能达到《基金合同》生效的条件，由基金管理人按规定办理退款等事宜。</w:t>
      </w:r>
    </w:p>
    <w:p w14:paraId="649A71E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1410235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4A29004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1FC495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66961BC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27B51363" w14:textId="77777777" w:rsidR="00353BD1" w:rsidRDefault="00064D22">
      <w:pPr>
        <w:adjustRightInd w:val="0"/>
        <w:snapToGrid w:val="0"/>
        <w:spacing w:line="360" w:lineRule="auto"/>
        <w:ind w:firstLine="480"/>
        <w:rPr>
          <w:rFonts w:ascii="宋体" w:hAnsi="宋体" w:cs="Arial"/>
          <w:sz w:val="24"/>
        </w:rPr>
      </w:pPr>
      <w:r>
        <w:rPr>
          <w:rFonts w:ascii="宋体" w:hAnsi="宋体" w:hint="eastAsia"/>
          <w:color w:val="000000"/>
          <w:szCs w:val="21"/>
        </w:rPr>
        <w:t>5.基金管理人应于托管产品到期后及时完成收益兑付、费用结清及其他应收应付款项资金划转，在确保后续不再发生款项进出后的10个工作日内向托管人发出销户申请。</w:t>
      </w:r>
    </w:p>
    <w:p w14:paraId="68B5923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18B7D66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1.基金托管人在中国证券登记结算有限责任公司为基金开立基金托管人与基金联名的证券账户。</w:t>
      </w:r>
    </w:p>
    <w:p w14:paraId="5FA8CF4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A25014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3.基金证券账户的开立和证券账户卡的保管由基金托管人负责，账户资产的管理和运用由基金管理人负责。</w:t>
      </w:r>
    </w:p>
    <w:p w14:paraId="28ADFD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5DDE86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D2A58F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7CA2E9F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10F7AA5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084D8E6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225D39B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（六）其他账户的开立和管理</w:t>
      </w:r>
    </w:p>
    <w:p w14:paraId="6D7B3C8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BCED3B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2.法律法规等有关规定对相关账户的开立和管理另有规定的，从其规定办理。</w:t>
      </w:r>
    </w:p>
    <w:p w14:paraId="389D4CA1"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（七）基金财产投资的有关有价凭证等的保管</w:t>
      </w:r>
    </w:p>
    <w:p w14:paraId="05918FF6" w14:textId="77777777" w:rsidR="00353BD1" w:rsidRDefault="00064D22">
      <w:pPr>
        <w:adjustRightInd w:val="0"/>
        <w:snapToGrid w:val="0"/>
        <w:spacing w:line="360" w:lineRule="auto"/>
        <w:ind w:firstLineChars="200" w:firstLine="480"/>
        <w:rPr>
          <w:rFonts w:ascii="宋体" w:hAnsi="宋体" w:cs="Arial"/>
        </w:rPr>
      </w:pPr>
      <w:r>
        <w:rPr>
          <w:rFonts w:ascii="宋体" w:hAnsi="宋体" w:cs="Arial" w:hint="eastAsia"/>
          <w:sz w:val="24"/>
        </w:rPr>
        <w:t>基金财产投资的有关实物证券、银行</w:t>
      </w:r>
      <w:r>
        <w:rPr>
          <w:rFonts w:ascii="宋体" w:hAnsi="宋体" w:hint="eastAsia"/>
          <w:sz w:val="24"/>
        </w:rPr>
        <w:t>存款开户证实书</w:t>
      </w:r>
      <w:r>
        <w:rPr>
          <w:rFonts w:ascii="宋体" w:hAnsi="宋体" w:cs="Arial" w:hint="eastAsia"/>
          <w:sz w:val="24"/>
        </w:rPr>
        <w:t>等有价凭证由基金托管人存放于基金托管人的保管库，也可存入法律法规有关规定允许的各类代保管库，</w:t>
      </w:r>
      <w:r>
        <w:rPr>
          <w:rFonts w:ascii="宋体" w:hAnsi="宋体" w:cs="Arial" w:hint="eastAsia"/>
          <w:sz w:val="24"/>
        </w:rPr>
        <w:lastRenderedPageBreak/>
        <w:t>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C4C912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（八）与基金财产有关的重大合同的保管</w:t>
      </w:r>
    </w:p>
    <w:p w14:paraId="606A701E" w14:textId="77777777" w:rsidR="00353BD1" w:rsidRDefault="00064D22">
      <w:pPr>
        <w:adjustRightInd w:val="0"/>
        <w:snapToGrid w:val="0"/>
        <w:spacing w:line="360" w:lineRule="auto"/>
        <w:ind w:firstLineChars="200" w:firstLine="480"/>
        <w:rPr>
          <w:rFonts w:ascii="宋体" w:hAnsi="宋体"/>
          <w:sz w:val="30"/>
          <w:szCs w:val="30"/>
        </w:rPr>
      </w:pPr>
      <w:r>
        <w:rPr>
          <w:rFonts w:ascii="宋体"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6E5C2A01" w14:textId="77777777" w:rsidR="00353BD1" w:rsidRDefault="00353BD1">
      <w:pPr>
        <w:spacing w:line="360" w:lineRule="auto"/>
        <w:rPr>
          <w:rFonts w:ascii="宋体" w:hAnsi="宋体"/>
          <w:sz w:val="24"/>
        </w:rPr>
      </w:pPr>
    </w:p>
    <w:p w14:paraId="60C452E9" w14:textId="77777777" w:rsidR="00353BD1" w:rsidRDefault="00064D22">
      <w:pPr>
        <w:pStyle w:val="2"/>
        <w:spacing w:line="360" w:lineRule="auto"/>
        <w:jc w:val="center"/>
        <w:rPr>
          <w:rFonts w:ascii="宋体" w:eastAsia="宋体" w:hAnsi="宋体"/>
          <w:sz w:val="30"/>
        </w:rPr>
      </w:pPr>
      <w:bookmarkStart w:id="54" w:name="_Toc86225293"/>
      <w:bookmarkStart w:id="55" w:name="_Toc86737931"/>
      <w:bookmarkStart w:id="56" w:name="_Toc118972650"/>
      <w:bookmarkStart w:id="57" w:name="_Toc86726441"/>
      <w:bookmarkStart w:id="58" w:name="_Toc84234389"/>
      <w:bookmarkStart w:id="59" w:name="_Toc86223244"/>
      <w:bookmarkStart w:id="60" w:name="_Toc89163370"/>
      <w:bookmarkStart w:id="61" w:name="_Toc84133787"/>
      <w:bookmarkStart w:id="62" w:name="_Toc118774805"/>
      <w:bookmarkStart w:id="63" w:name="_Toc110830494"/>
      <w:bookmarkStart w:id="64" w:name="_Toc119402712"/>
      <w:bookmarkStart w:id="65" w:name="_Toc86204790"/>
      <w:bookmarkStart w:id="66" w:name="_Toc110761798"/>
      <w:bookmarkStart w:id="67" w:name="_Toc120435785"/>
      <w:bookmarkStart w:id="68" w:name="_Toc84234436"/>
      <w:bookmarkStart w:id="69" w:name="_Toc108512360"/>
      <w:bookmarkStart w:id="70" w:name="_Toc86649724"/>
      <w:bookmarkStart w:id="71" w:name="_Toc86727357"/>
      <w:bookmarkStart w:id="72" w:name="_Toc124325890"/>
      <w:bookmarkStart w:id="73" w:name="_Toc110765662"/>
      <w:bookmarkStart w:id="74" w:name="_Toc118212952"/>
      <w:r>
        <w:rPr>
          <w:rFonts w:ascii="宋体" w:eastAsia="宋体" w:hAnsi="宋体" w:hint="eastAsia"/>
          <w:sz w:val="30"/>
        </w:rPr>
        <w:t>六、指令的发送、确认及执行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6AD99D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2CF4E91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（一）基金管理人对发送指令人员的书面授权</w:t>
      </w:r>
    </w:p>
    <w:p w14:paraId="4A9DD79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1.基金管理人应指定专人向基金托管人发送指令。</w:t>
      </w:r>
    </w:p>
    <w:p w14:paraId="246582D8"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2.基金管理人应向基金托管人提供书面授权文件原件，内容包括被授权人名单、预留印鉴及被授权人签字样本，授权文件应注明被授权人相应的权限, 并加盖单位公章。</w:t>
      </w:r>
    </w:p>
    <w:p w14:paraId="6559660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31ABA79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2148C9D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（二）指令的内容</w:t>
      </w:r>
    </w:p>
    <w:p w14:paraId="0073CDE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1.指令包括付款指令以及其他资金划拨指令等。</w:t>
      </w:r>
    </w:p>
    <w:p w14:paraId="75AE71A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2.基金管理人发给基金托管人的指令应写明款项事由、支付时间、到账时间、</w:t>
      </w:r>
      <w:r>
        <w:rPr>
          <w:rFonts w:ascii="宋体" w:hAnsi="宋体" w:cs="Arial" w:hint="eastAsia"/>
          <w:sz w:val="24"/>
        </w:rPr>
        <w:lastRenderedPageBreak/>
        <w:t>金额、收付款账户等，加盖预留印鉴并由被授权人签字。</w:t>
      </w:r>
    </w:p>
    <w:p w14:paraId="404BEF7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（三）指令的发送、确认及执行的时间和程序</w:t>
      </w:r>
    </w:p>
    <w:p w14:paraId="3C2F542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1.指令的发送</w:t>
      </w:r>
    </w:p>
    <w:p w14:paraId="7EBCD39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基金管理人发送指令应采用传真方式或双方协商一致的其他方式。</w:t>
      </w:r>
    </w:p>
    <w:p w14:paraId="2D0DCC6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5684E9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指令发出后，基金管理人应及时以电话方式向基金托管人确认。</w:t>
      </w:r>
    </w:p>
    <w:p w14:paraId="0D9B93EE" w14:textId="77777777" w:rsidR="00353BD1" w:rsidRDefault="00064D22">
      <w:pPr>
        <w:adjustRightInd w:val="0"/>
        <w:snapToGrid w:val="0"/>
        <w:spacing w:line="360" w:lineRule="auto"/>
        <w:ind w:firstLine="480"/>
        <w:rPr>
          <w:rFonts w:ascii="宋体" w:hAnsi="宋体" w:cs="Arial"/>
          <w:sz w:val="24"/>
        </w:rPr>
      </w:pPr>
      <w:r>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486D73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2.指令的确认</w:t>
      </w:r>
    </w:p>
    <w:p w14:paraId="63FB5D4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D374AA2"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3.指令的时间和执行</w:t>
      </w:r>
    </w:p>
    <w:p w14:paraId="0D3705C4" w14:textId="77777777" w:rsidR="00353BD1" w:rsidRDefault="00064D22">
      <w:pPr>
        <w:pStyle w:val="a6"/>
        <w:spacing w:line="360" w:lineRule="auto"/>
        <w:ind w:firstLineChars="0"/>
        <w:rPr>
          <w:rFonts w:ascii="宋体" w:eastAsia="宋体" w:hAnsi="宋体" w:cs="Arial"/>
          <w:szCs w:val="24"/>
          <w:shd w:val="pct10" w:color="auto" w:fill="FFFFFF"/>
        </w:rPr>
      </w:pPr>
      <w:r>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宋体" w:eastAsia="宋体" w:hAnsi="宋体" w:cs="Arial" w:hint="eastAsia"/>
          <w:szCs w:val="24"/>
        </w:rPr>
        <w:t>基金管理人应确保基金托管人在执行指令时，基金托管资金账户有足够的资金余额，</w:t>
      </w:r>
      <w:r>
        <w:rPr>
          <w:rFonts w:ascii="宋体" w:eastAsia="宋体" w:hAnsi="宋体" w:cs="Arial" w:hint="eastAsia"/>
        </w:rPr>
        <w:t>在基金资金头寸充足的情况下，基金托管人对基金</w:t>
      </w:r>
      <w:r>
        <w:rPr>
          <w:rFonts w:ascii="宋体" w:eastAsia="宋体" w:hAnsi="宋体" w:cs="Arial" w:hint="eastAsia"/>
        </w:rPr>
        <w:lastRenderedPageBreak/>
        <w:t>管理人符合法律法规、《基金合同》、本协议的指令不得拖延或拒绝执行。</w:t>
      </w:r>
    </w:p>
    <w:p w14:paraId="12E4ECAC" w14:textId="77777777" w:rsidR="00353BD1" w:rsidRDefault="00064D22">
      <w:pPr>
        <w:pStyle w:val="a6"/>
        <w:spacing w:line="360" w:lineRule="auto"/>
        <w:ind w:firstLineChars="0"/>
        <w:rPr>
          <w:rFonts w:ascii="宋体" w:eastAsia="宋体" w:hAnsi="宋体" w:cs="Arial"/>
        </w:rPr>
      </w:pPr>
      <w:r>
        <w:rPr>
          <w:rFonts w:ascii="宋体" w:eastAsia="宋体" w:hAnsi="宋体" w:cs="Arial" w:hint="eastAsia"/>
        </w:rPr>
        <w:t>（四）基金管理人发送错误指令的情形和处理程序</w:t>
      </w:r>
    </w:p>
    <w:p w14:paraId="73584C5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基金管理人发送错误指令的情形包括指令违反法律法规、监管规定、《基金合同》或本协议的约定，或指令发送人员无权或超越权限发送指令。</w:t>
      </w:r>
    </w:p>
    <w:p w14:paraId="1D7669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62B536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（五）基金托管人未按照基金管理人指令执行的处理方法</w:t>
      </w:r>
    </w:p>
    <w:p w14:paraId="5CF505E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宋体" w:hAnsi="宋体" w:hint="eastAsia"/>
          <w:sz w:val="24"/>
        </w:rPr>
        <w:t>赔偿由此造成的直接损失。</w:t>
      </w:r>
    </w:p>
    <w:p w14:paraId="3EF04BC1"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（六）更换被授权人员的程序</w:t>
      </w:r>
    </w:p>
    <w:p w14:paraId="239706F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w:t>
      </w:r>
      <w:r>
        <w:rPr>
          <w:rFonts w:ascii="宋体" w:hAnsi="宋体" w:hint="eastAsia"/>
          <w:sz w:val="24"/>
        </w:rPr>
        <w:t>。</w:t>
      </w:r>
      <w:r>
        <w:rPr>
          <w:rFonts w:ascii="宋体" w:hAnsi="宋体" w:cs="Arial" w:hint="eastAsia"/>
          <w:sz w:val="24"/>
        </w:rPr>
        <w:t>基金托管人更换接受基金管理人指令的传真号或邮箱地址，应提前通知基金管理人。</w:t>
      </w:r>
    </w:p>
    <w:p w14:paraId="73F372D1"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（七）其他事项</w:t>
      </w:r>
    </w:p>
    <w:p w14:paraId="5D88BF8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622769D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D143CDE" w14:textId="77777777" w:rsidR="00353BD1" w:rsidRDefault="00353BD1">
      <w:pPr>
        <w:adjustRightInd w:val="0"/>
        <w:snapToGrid w:val="0"/>
        <w:spacing w:line="360" w:lineRule="auto"/>
        <w:rPr>
          <w:rFonts w:ascii="宋体" w:hAnsi="宋体" w:cs="Arial"/>
          <w:sz w:val="24"/>
        </w:rPr>
      </w:pPr>
    </w:p>
    <w:p w14:paraId="2C6FC95F" w14:textId="77777777" w:rsidR="00353BD1" w:rsidRDefault="00064D22">
      <w:pPr>
        <w:pStyle w:val="2"/>
        <w:spacing w:line="360" w:lineRule="auto"/>
        <w:jc w:val="center"/>
        <w:rPr>
          <w:rFonts w:ascii="宋体" w:eastAsia="宋体" w:hAnsi="宋体"/>
          <w:sz w:val="30"/>
        </w:rPr>
      </w:pPr>
      <w:bookmarkStart w:id="75" w:name="_Toc124325891"/>
      <w:bookmarkStart w:id="76" w:name="_Toc86223245"/>
      <w:bookmarkStart w:id="77" w:name="_Toc84234437"/>
      <w:bookmarkStart w:id="78" w:name="_Toc86649725"/>
      <w:bookmarkStart w:id="79" w:name="_Toc86727358"/>
      <w:bookmarkStart w:id="80" w:name="_Toc118972651"/>
      <w:bookmarkStart w:id="81" w:name="_Toc120435786"/>
      <w:bookmarkStart w:id="82" w:name="_Toc110830495"/>
      <w:bookmarkStart w:id="83" w:name="_Toc108512361"/>
      <w:bookmarkStart w:id="84" w:name="_Toc86204791"/>
      <w:bookmarkStart w:id="85" w:name="_Toc86737932"/>
      <w:bookmarkStart w:id="86" w:name="_Toc84133788"/>
      <w:bookmarkStart w:id="87" w:name="_Toc110765663"/>
      <w:bookmarkStart w:id="88" w:name="_Toc110761799"/>
      <w:bookmarkStart w:id="89" w:name="_Toc86726442"/>
      <w:bookmarkStart w:id="90" w:name="_Toc119402713"/>
      <w:bookmarkStart w:id="91" w:name="_Toc89163371"/>
      <w:bookmarkStart w:id="92" w:name="_Toc86225294"/>
      <w:bookmarkStart w:id="93" w:name="_Toc118212953"/>
      <w:bookmarkStart w:id="94" w:name="_Toc118774806"/>
      <w:bookmarkStart w:id="95" w:name="_Toc84234390"/>
      <w:r>
        <w:rPr>
          <w:rFonts w:ascii="宋体" w:eastAsia="宋体" w:hAnsi="宋体" w:hint="eastAsia"/>
          <w:sz w:val="30"/>
        </w:rPr>
        <w:lastRenderedPageBreak/>
        <w:t>七、交易及清算交收安排</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78D083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hint="eastAsia"/>
          <w:sz w:val="24"/>
        </w:rPr>
        <w:t>本产品参与交易所场内证券投资，采取托管人结算模式，</w:t>
      </w:r>
      <w:r>
        <w:rPr>
          <w:rFonts w:ascii="宋体" w:hAnsi="宋体" w:hint="eastAsia"/>
          <w:bCs/>
          <w:sz w:val="24"/>
        </w:rPr>
        <w:t>基金管理人与基金托管人应根据有关法律法规及相关业务规则，签订《托管银行证券资金结算协议》用</w:t>
      </w:r>
      <w:r>
        <w:rPr>
          <w:rFonts w:ascii="宋体" w:hAnsi="宋体" w:cs="Arial" w:hint="eastAsia"/>
          <w:sz w:val="24"/>
        </w:rPr>
        <w:t>以具体明确基金管理人与基金托管人在证券交易资金结算（含港股通）业务中的程序与责任。协议签署前，基金管理人应按基金托管人要求配合提供相应准入材料。</w:t>
      </w:r>
    </w:p>
    <w:p w14:paraId="58821E5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（一）选择证券买卖的证券经营机构</w:t>
      </w:r>
    </w:p>
    <w:p w14:paraId="12D2FE6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37730A7"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本基金在开始进行期货投资之前，应与基金托管人、期货公司三方一同就期货开户、清算、估值、交收等事宜另行签署《期货投资托管操作三方备忘录》。</w:t>
      </w:r>
    </w:p>
    <w:p w14:paraId="334C63EF" w14:textId="77777777" w:rsidR="00F539CC" w:rsidRDefault="00064D22">
      <w:pPr>
        <w:adjustRightInd w:val="0"/>
        <w:snapToGrid w:val="0"/>
        <w:spacing w:line="360" w:lineRule="auto"/>
        <w:ind w:firstLine="480"/>
        <w:rPr>
          <w:rFonts w:ascii="宋体" w:hAnsi="宋体" w:cs="Arial"/>
          <w:sz w:val="24"/>
        </w:rPr>
      </w:pPr>
      <w:r>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E925214" w14:textId="30B1E289"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（二）基金投资证券后的清算交收安排</w:t>
      </w:r>
    </w:p>
    <w:p w14:paraId="5E63BA2E"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1.结算备付金与保证金</w:t>
      </w:r>
    </w:p>
    <w:p w14:paraId="32EA6CA6" w14:textId="77777777" w:rsidR="00353BD1" w:rsidRDefault="00064D22">
      <w:pPr>
        <w:spacing w:line="360" w:lineRule="auto"/>
        <w:ind w:firstLineChars="200" w:firstLine="480"/>
        <w:rPr>
          <w:rFonts w:ascii="宋体" w:hAnsi="宋体"/>
          <w:bCs/>
          <w:sz w:val="24"/>
        </w:rPr>
      </w:pPr>
      <w:r>
        <w:rPr>
          <w:rFonts w:ascii="宋体" w:hAnsi="宋体" w:hint="eastAsia"/>
          <w:bCs/>
          <w:sz w:val="24"/>
        </w:rPr>
        <w:t>中国证券登记结算有限责任公司分别于每月前</w:t>
      </w:r>
      <w:r>
        <w:rPr>
          <w:rFonts w:ascii="宋体" w:hAnsi="宋体"/>
          <w:bCs/>
          <w:sz w:val="24"/>
        </w:rPr>
        <w:t>6个交易日</w:t>
      </w:r>
      <w:r>
        <w:rPr>
          <w:rFonts w:ascii="宋体" w:hAnsi="宋体" w:hint="eastAsia"/>
          <w:bCs/>
          <w:sz w:val="24"/>
        </w:rPr>
        <w:t>及每月前</w:t>
      </w:r>
      <w:r>
        <w:rPr>
          <w:rFonts w:ascii="宋体" w:hAnsi="宋体"/>
          <w:bCs/>
          <w:sz w:val="24"/>
        </w:rPr>
        <w:t>3个交易日内，对结算参与人最低备付金限额与结算保证金限额进行重新核算、调整。基金托管人</w:t>
      </w:r>
      <w:r>
        <w:rPr>
          <w:rFonts w:ascii="宋体" w:hAnsi="宋体" w:hint="eastAsia"/>
          <w:bCs/>
          <w:sz w:val="24"/>
        </w:rPr>
        <w:t>应分别于每月前</w:t>
      </w:r>
      <w:r>
        <w:rPr>
          <w:rFonts w:ascii="宋体" w:hAnsi="宋体"/>
          <w:bCs/>
          <w:sz w:val="24"/>
        </w:rPr>
        <w:t>3个交易日内及结算保证金调整当日通过《资金账户报告》通知基金管理人</w:t>
      </w:r>
      <w:r>
        <w:rPr>
          <w:rFonts w:ascii="宋体" w:hAnsi="宋体" w:hint="eastAsia"/>
          <w:bCs/>
          <w:sz w:val="24"/>
        </w:rPr>
        <w:t>本基金最低备付金调整金额以及调整后的结算保证金金额。</w:t>
      </w:r>
      <w:r>
        <w:rPr>
          <w:rFonts w:ascii="宋体" w:hAnsi="宋体"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6656F265" w14:textId="77777777" w:rsidR="00353BD1" w:rsidRDefault="00064D22">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1）固定备付金比例</w:t>
      </w:r>
      <w:r>
        <w:rPr>
          <w:rFonts w:ascii="宋体" w:hAnsi="宋体" w:hint="eastAsia"/>
          <w:sz w:val="24"/>
        </w:rPr>
        <w:t>计收方式下，基金管理人应在调整最低备付金、结算保证金当日上午</w:t>
      </w:r>
      <w:r>
        <w:rPr>
          <w:rFonts w:ascii="宋体" w:hAnsi="宋体"/>
          <w:sz w:val="24"/>
        </w:rPr>
        <w:t>11</w:t>
      </w:r>
      <w:r>
        <w:rPr>
          <w:rFonts w:ascii="宋体" w:hAnsi="宋体" w:hint="eastAsia"/>
          <w:sz w:val="24"/>
        </w:rPr>
        <w:t>：</w:t>
      </w:r>
      <w:r>
        <w:rPr>
          <w:rFonts w:ascii="宋体" w:hAnsi="宋体"/>
          <w:sz w:val="24"/>
        </w:rPr>
        <w:t>00之前补足</w:t>
      </w:r>
      <w:r>
        <w:rPr>
          <w:rFonts w:ascii="宋体" w:hAnsi="宋体" w:hint="eastAsia"/>
          <w:sz w:val="24"/>
        </w:rPr>
        <w:t>金额。</w:t>
      </w:r>
    </w:p>
    <w:p w14:paraId="309E0195" w14:textId="77777777" w:rsidR="00353BD1" w:rsidRDefault="00064D22">
      <w:pPr>
        <w:spacing w:line="360" w:lineRule="auto"/>
        <w:ind w:firstLineChars="200" w:firstLine="480"/>
        <w:rPr>
          <w:rFonts w:ascii="宋体" w:hAnsi="宋体" w:cs="Arial"/>
          <w:sz w:val="24"/>
        </w:rPr>
      </w:pPr>
      <w:r>
        <w:rPr>
          <w:rFonts w:ascii="宋体" w:hAnsi="宋体" w:hint="eastAsia"/>
          <w:sz w:val="24"/>
        </w:rPr>
        <w:t>（</w:t>
      </w:r>
      <w:r>
        <w:rPr>
          <w:rFonts w:ascii="宋体" w:hAnsi="宋体"/>
          <w:sz w:val="24"/>
        </w:rPr>
        <w:t>2）差异化备付金比例</w:t>
      </w:r>
      <w:r>
        <w:rPr>
          <w:rFonts w:ascii="宋体" w:hAnsi="宋体" w:hint="eastAsia"/>
          <w:sz w:val="24"/>
        </w:rPr>
        <w:t>计收方式下，基金管理人应最晚于资金交收日上午</w:t>
      </w:r>
      <w:r>
        <w:rPr>
          <w:rFonts w:ascii="宋体" w:hAnsi="宋体"/>
          <w:sz w:val="24"/>
        </w:rPr>
        <w:t>8：30前补足金额</w:t>
      </w:r>
      <w:r>
        <w:rPr>
          <w:rFonts w:ascii="宋体" w:hAnsi="宋体" w:hint="eastAsia"/>
          <w:sz w:val="24"/>
        </w:rPr>
        <w:t>。</w:t>
      </w:r>
    </w:p>
    <w:p w14:paraId="38AF7264" w14:textId="77777777" w:rsidR="00353BD1" w:rsidRDefault="00064D22">
      <w:pPr>
        <w:adjustRightInd w:val="0"/>
        <w:snapToGrid w:val="0"/>
        <w:spacing w:line="360" w:lineRule="auto"/>
        <w:ind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清算交收</w:t>
      </w:r>
    </w:p>
    <w:p w14:paraId="3DC4482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E12157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w:t>
      </w:r>
      <w:r>
        <w:rPr>
          <w:rFonts w:ascii="宋体" w:hAnsi="宋体" w:hint="eastAsia"/>
          <w:color w:val="000000"/>
        </w:rPr>
        <w:t>，</w:t>
      </w:r>
      <w:r>
        <w:rPr>
          <w:rFonts w:ascii="宋体" w:hAnsi="宋体" w:cs="Arial" w:hint="eastAsia"/>
          <w:sz w:val="24"/>
        </w:rPr>
        <w:t>基金管理人应保持联系方式畅通，后续补缴等事宜由基金管理人负责解决，由此给基金托管人、本基金和基金托管人托管的其他资产造成的直接损失由基金管理人承担。</w:t>
      </w:r>
    </w:p>
    <w:p w14:paraId="06CDEFF1" w14:textId="77777777" w:rsidR="00353BD1" w:rsidRDefault="00064D22">
      <w:pPr>
        <w:spacing w:line="360" w:lineRule="auto"/>
        <w:ind w:firstLineChars="200" w:firstLine="480"/>
        <w:rPr>
          <w:rFonts w:ascii="宋体" w:hAnsi="宋体"/>
          <w:sz w:val="24"/>
        </w:rPr>
      </w:pPr>
      <w:r>
        <w:rPr>
          <w:rFonts w:ascii="宋体" w:hAnsi="宋体" w:cs="宋体" w:hint="eastAsia"/>
          <w:color w:val="000000"/>
          <w:kern w:val="0"/>
          <w:sz w:val="24"/>
        </w:rPr>
        <w:t>基金管理人应采取合理、必要措施，确保T日日终有足够的资金头寸完成 T+1日</w:t>
      </w:r>
      <w:r>
        <w:rPr>
          <w:rFonts w:ascii="宋体" w:hAnsi="宋体" w:hint="eastAsia"/>
          <w:sz w:val="24"/>
        </w:rPr>
        <w:t>中国证券登记结算有限责任公司的资金</w:t>
      </w:r>
      <w:r>
        <w:rPr>
          <w:rFonts w:ascii="宋体" w:hAnsi="宋体" w:cs="宋体" w:hint="eastAsia"/>
          <w:color w:val="000000"/>
          <w:kern w:val="0"/>
          <w:sz w:val="24"/>
        </w:rPr>
        <w:t>交收；如因基金管理人原因导致资金头寸不足，基金管理人应</w:t>
      </w:r>
      <w:r>
        <w:rPr>
          <w:rFonts w:ascii="宋体" w:hAnsi="宋体" w:hint="eastAsia"/>
          <w:sz w:val="24"/>
        </w:rPr>
        <w:t>视基金托管</w:t>
      </w:r>
      <w:r>
        <w:rPr>
          <w:rFonts w:ascii="宋体" w:hAnsi="宋体"/>
          <w:sz w:val="24"/>
        </w:rPr>
        <w:t>人</w:t>
      </w:r>
      <w:r>
        <w:rPr>
          <w:rFonts w:ascii="宋体" w:hAnsi="宋体" w:hint="eastAsia"/>
          <w:sz w:val="24"/>
        </w:rPr>
        <w:t>最低结算备付金比例计收方式分别于下列时点补足透支金额：</w:t>
      </w:r>
    </w:p>
    <w:p w14:paraId="257A9A23" w14:textId="77777777" w:rsidR="00353BD1" w:rsidRDefault="00064D22">
      <w:pPr>
        <w:spacing w:line="360" w:lineRule="auto"/>
        <w:ind w:firstLineChars="200" w:firstLine="480"/>
        <w:rPr>
          <w:rFonts w:ascii="宋体" w:hAnsi="宋体"/>
          <w:sz w:val="24"/>
        </w:rPr>
      </w:pPr>
      <w:r>
        <w:rPr>
          <w:rFonts w:ascii="宋体" w:hAnsi="宋体" w:hint="eastAsia"/>
          <w:sz w:val="24"/>
        </w:rPr>
        <w:t>（</w:t>
      </w:r>
      <w:r>
        <w:rPr>
          <w:rFonts w:ascii="宋体" w:hAnsi="宋体"/>
          <w:sz w:val="24"/>
        </w:rPr>
        <w:t>1）固定备付金比例计收方式下，</w:t>
      </w:r>
      <w:r>
        <w:rPr>
          <w:rFonts w:ascii="宋体" w:hAnsi="宋体" w:hint="eastAsia"/>
          <w:sz w:val="24"/>
        </w:rPr>
        <w:t>基金</w:t>
      </w:r>
      <w:r>
        <w:rPr>
          <w:rFonts w:ascii="宋体" w:hAnsi="宋体"/>
          <w:sz w:val="24"/>
        </w:rPr>
        <w:t>管理人应</w:t>
      </w:r>
      <w:r>
        <w:rPr>
          <w:rFonts w:ascii="宋体" w:hAnsi="宋体" w:hint="eastAsia"/>
          <w:sz w:val="24"/>
        </w:rPr>
        <w:t>最晚于资金交收日上午</w:t>
      </w:r>
      <w:r>
        <w:rPr>
          <w:rFonts w:ascii="宋体" w:hAnsi="宋体"/>
          <w:sz w:val="24"/>
        </w:rPr>
        <w:t>11</w:t>
      </w:r>
      <w:r>
        <w:rPr>
          <w:rFonts w:ascii="宋体" w:hAnsi="宋体" w:hint="eastAsia"/>
          <w:sz w:val="24"/>
        </w:rPr>
        <w:t>：</w:t>
      </w:r>
      <w:r>
        <w:rPr>
          <w:rFonts w:ascii="宋体" w:hAnsi="宋体"/>
          <w:sz w:val="24"/>
        </w:rPr>
        <w:t>00前补足金额。</w:t>
      </w:r>
    </w:p>
    <w:p w14:paraId="6B780349" w14:textId="77777777" w:rsidR="00353BD1" w:rsidRDefault="00064D22">
      <w:pPr>
        <w:adjustRightInd w:val="0"/>
        <w:snapToGrid w:val="0"/>
        <w:spacing w:line="360" w:lineRule="auto"/>
        <w:ind w:firstLine="480"/>
        <w:rPr>
          <w:rFonts w:ascii="宋体" w:hAnsi="宋体" w:cs="宋体"/>
          <w:color w:val="000000"/>
          <w:kern w:val="0"/>
          <w:sz w:val="24"/>
        </w:rPr>
      </w:pPr>
      <w:r>
        <w:rPr>
          <w:rFonts w:ascii="宋体" w:hAnsi="宋体" w:hint="eastAsia"/>
          <w:sz w:val="24"/>
        </w:rPr>
        <w:t>（</w:t>
      </w:r>
      <w:r>
        <w:rPr>
          <w:rFonts w:ascii="宋体" w:hAnsi="宋体"/>
          <w:sz w:val="24"/>
        </w:rPr>
        <w:t>2）差异化备付金比例计收方式下，</w:t>
      </w:r>
      <w:r>
        <w:rPr>
          <w:rFonts w:ascii="宋体" w:hAnsi="宋体" w:hint="eastAsia"/>
          <w:sz w:val="24"/>
        </w:rPr>
        <w:t>基金</w:t>
      </w:r>
      <w:r>
        <w:rPr>
          <w:rFonts w:ascii="宋体" w:hAnsi="宋体"/>
          <w:sz w:val="24"/>
        </w:rPr>
        <w:t>管理人应最晚于资金交收日</w:t>
      </w:r>
      <w:r>
        <w:rPr>
          <w:rFonts w:ascii="宋体" w:hAnsi="宋体" w:hint="eastAsia"/>
          <w:sz w:val="24"/>
        </w:rPr>
        <w:t>上午</w:t>
      </w:r>
      <w:r>
        <w:rPr>
          <w:rFonts w:ascii="宋体" w:hAnsi="宋体"/>
          <w:sz w:val="24"/>
        </w:rPr>
        <w:t>8：30前补足金额</w:t>
      </w:r>
      <w:r>
        <w:rPr>
          <w:rFonts w:ascii="宋体"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622E7CD" w14:textId="77777777" w:rsidR="00353BD1" w:rsidRDefault="00064D22">
      <w:pPr>
        <w:adjustRightInd w:val="0"/>
        <w:snapToGrid w:val="0"/>
        <w:spacing w:line="360" w:lineRule="auto"/>
        <w:ind w:firstLineChars="200" w:firstLine="480"/>
        <w:rPr>
          <w:rFonts w:ascii="宋体" w:hAnsi="宋体"/>
          <w:sz w:val="24"/>
        </w:rPr>
      </w:pPr>
      <w:r>
        <w:rPr>
          <w:rFonts w:ascii="宋体" w:hAnsi="宋体" w:cs="宋体" w:hint="eastAsia"/>
          <w:color w:val="000000"/>
          <w:kern w:val="0"/>
          <w:sz w:val="24"/>
        </w:rPr>
        <w:lastRenderedPageBreak/>
        <w:t>根据中国证券登记结算有限责任公司结算规定，基金管理人在进行融资回购业务时</w:t>
      </w:r>
      <w:r>
        <w:rPr>
          <w:rFonts w:ascii="宋体" w:hAnsi="宋体" w:hint="eastAsia"/>
          <w:sz w:val="24"/>
        </w:rPr>
        <w:t>，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4238D0C"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对于中国证券登记结算有限责任公司实行</w:t>
      </w:r>
      <w:r>
        <w:rPr>
          <w:rFonts w:ascii="宋体" w:hAnsi="宋体"/>
          <w:sz w:val="24"/>
        </w:rPr>
        <w:t>T+0</w:t>
      </w:r>
      <w:r>
        <w:rPr>
          <w:rFonts w:ascii="宋体" w:hAnsi="宋体" w:hint="eastAsia"/>
          <w:sz w:val="24"/>
        </w:rPr>
        <w:t>非担保交收的业务，基金管理人应在交易日</w:t>
      </w:r>
      <w:r>
        <w:rPr>
          <w:rFonts w:ascii="宋体" w:hAnsi="宋体"/>
          <w:sz w:val="24"/>
        </w:rPr>
        <w:t>14:00前将划款指令发送至</w:t>
      </w:r>
      <w:r>
        <w:rPr>
          <w:rFonts w:ascii="宋体" w:hAnsi="宋体" w:hint="eastAsia"/>
          <w:sz w:val="24"/>
        </w:rPr>
        <w:t>基金托管人</w:t>
      </w:r>
      <w:r>
        <w:rPr>
          <w:rFonts w:ascii="宋体" w:hAnsi="宋体"/>
          <w:sz w:val="24"/>
        </w:rPr>
        <w:t>。因</w:t>
      </w:r>
      <w:r>
        <w:rPr>
          <w:rFonts w:ascii="宋体" w:hAnsi="宋体"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52E6DCA6" w14:textId="77777777" w:rsidR="00353BD1" w:rsidRDefault="00064D22">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.交易记录、资金和证券账目核对的时间和方式</w:t>
      </w:r>
    </w:p>
    <w:p w14:paraId="7DABBD98"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（1）交易记录的核对</w:t>
      </w:r>
    </w:p>
    <w:p w14:paraId="409562A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hint="eastAsia"/>
          <w:sz w:val="24"/>
        </w:rPr>
        <w:t>基金管理人按日进行交易记录的核对。每日对外披露净值之前，必须保证当天所有实际交易记录与基金会计</w:t>
      </w:r>
      <w:r>
        <w:rPr>
          <w:rFonts w:ascii="宋体" w:hAnsi="宋体" w:hint="eastAsia"/>
          <w:kern w:val="0"/>
          <w:sz w:val="24"/>
        </w:rPr>
        <w:t>账簿上的交易记录完全一致。如果实际交易记录与会计账簿记录不一致，造成基金会计核算不完整或不真实，由此导致的损失由基金管理人承担。</w:t>
      </w:r>
    </w:p>
    <w:p w14:paraId="3DF5C8C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（2）资金账目的核对</w:t>
      </w:r>
    </w:p>
    <w:p w14:paraId="192451A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资金账目按日核实。</w:t>
      </w:r>
    </w:p>
    <w:p w14:paraId="215D924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（3）证券账目的核对</w:t>
      </w:r>
    </w:p>
    <w:p w14:paraId="1DC20F2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基金管理人和基金托管人每个估值日结束后核对基金证券账目，确保双方账目相符。</w:t>
      </w:r>
    </w:p>
    <w:p w14:paraId="38CD1993" w14:textId="7993608A"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w:t>
      </w:r>
      <w:r w:rsidR="0091716E">
        <w:rPr>
          <w:rFonts w:ascii="宋体" w:hAnsi="宋体" w:cs="Arial" w:hint="eastAsia"/>
          <w:sz w:val="24"/>
        </w:rPr>
        <w:t>三</w:t>
      </w:r>
      <w:r>
        <w:rPr>
          <w:rFonts w:ascii="宋体" w:hAnsi="宋体" w:cs="Arial" w:hint="eastAsia"/>
          <w:sz w:val="24"/>
        </w:rPr>
        <w:t>）基金申购和赎回业务处理的基本规定</w:t>
      </w:r>
    </w:p>
    <w:p w14:paraId="2F5AE948"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1.基金份额申购、赎回的确认、清算由基金管理人或其委托的注册登记机构负责。</w:t>
      </w:r>
    </w:p>
    <w:p w14:paraId="4DB43091" w14:textId="5716DE21"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w:t>
      </w:r>
      <w:r w:rsidR="000106E8">
        <w:rPr>
          <w:rFonts w:ascii="宋体" w:hAnsi="宋体" w:cs="Arial" w:hint="eastAsia"/>
          <w:sz w:val="24"/>
        </w:rPr>
        <w:t>净应收</w:t>
      </w:r>
      <w:r>
        <w:rPr>
          <w:rFonts w:ascii="宋体" w:hAnsi="宋体" w:cs="Arial" w:hint="eastAsia"/>
          <w:sz w:val="24"/>
        </w:rPr>
        <w:t>资金的到账情况并根据基金管理人指令及时划付</w:t>
      </w:r>
      <w:r w:rsidR="000106E8">
        <w:rPr>
          <w:rFonts w:ascii="宋体" w:hAnsi="宋体" w:cs="Arial" w:hint="eastAsia"/>
          <w:sz w:val="24"/>
        </w:rPr>
        <w:t>净应付</w:t>
      </w:r>
      <w:r>
        <w:rPr>
          <w:rFonts w:ascii="宋体" w:hAnsi="宋体" w:cs="Arial" w:hint="eastAsia"/>
          <w:sz w:val="24"/>
        </w:rPr>
        <w:t>款项。</w:t>
      </w:r>
    </w:p>
    <w:p w14:paraId="14B81A7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3.基金管理人应保证本基金（或本基金管理人委托）的注册登记机构每个工作日15:00前向基金托管人发送前一开放日上述有关数据，并保证相关数据的准确、</w:t>
      </w:r>
      <w:r>
        <w:rPr>
          <w:rFonts w:ascii="宋体" w:hAnsi="宋体" w:cs="Arial" w:hint="eastAsia"/>
          <w:sz w:val="24"/>
        </w:rPr>
        <w:lastRenderedPageBreak/>
        <w:t>完整。</w:t>
      </w:r>
    </w:p>
    <w:p w14:paraId="75DC47B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4.注册登记机构应通过与基金托管人建立的加密系统发送有关数据，如因各种原因，该系统无法正常发送，双方可协商解决处理方式。基金管理人向基金托管人发送的数据，双方各自按有关规定保存。</w:t>
      </w:r>
    </w:p>
    <w:p w14:paraId="1EB8BE7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5.如基金管理人委托其他机构办理本基金的注册登记业务，应保证上述相关事宜按时进行。否则，由基金管理人承担相应的责任。</w:t>
      </w:r>
    </w:p>
    <w:p w14:paraId="30703DB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6.关于清算专用账户的设立和管理</w:t>
      </w:r>
    </w:p>
    <w:p w14:paraId="5CFD5952"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为满足申购、赎回及分红资金汇划的需要，由基金管理人开立资金清算的专用账户，该账户由注册登记机构管理。</w:t>
      </w:r>
    </w:p>
    <w:p w14:paraId="7E587A93"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236346C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8.赎回和分红资金划拨规定</w:t>
      </w:r>
    </w:p>
    <w:p w14:paraId="329FE171"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3A98840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9.资金指令</w:t>
      </w:r>
    </w:p>
    <w:p w14:paraId="080D70B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除申购款项到达基金托管资金账户需双方按约定方式对账外，回购到期付款和与投资有关的付款、赎回和分红资金划拨时，基金管理人需向基金托管人下达指令。</w:t>
      </w:r>
    </w:p>
    <w:p w14:paraId="06AAA9A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资金指令的格式、内容、发送、接收和确认方式等与投资指令相同。</w:t>
      </w:r>
    </w:p>
    <w:p w14:paraId="5C3A23FC" w14:textId="23547474"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w:t>
      </w:r>
      <w:r w:rsidR="0091716E">
        <w:rPr>
          <w:rFonts w:ascii="宋体" w:hAnsi="宋体" w:cs="Arial" w:hint="eastAsia"/>
          <w:sz w:val="24"/>
        </w:rPr>
        <w:t>四</w:t>
      </w:r>
      <w:r>
        <w:rPr>
          <w:rFonts w:ascii="宋体" w:hAnsi="宋体" w:cs="Arial" w:hint="eastAsia"/>
          <w:sz w:val="24"/>
        </w:rPr>
        <w:t>）申赎净额结算</w:t>
      </w:r>
    </w:p>
    <w:p w14:paraId="3D83519D" w14:textId="77777777"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日10:00前将划款指令发送给基金托管人,基金托管人按基金管理人的划款指令将托管资</w:t>
      </w:r>
      <w:r>
        <w:rPr>
          <w:rFonts w:ascii="宋体" w:hAnsi="宋体" w:cs="Arial" w:hint="eastAsia"/>
          <w:sz w:val="24"/>
        </w:rPr>
        <w:lastRenderedPageBreak/>
        <w:t>金账户净应付额在T日15:00之前划往基金清算账户。</w:t>
      </w:r>
    </w:p>
    <w:p w14:paraId="71DED06B" w14:textId="7A043F28"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w:t>
      </w:r>
      <w:r w:rsidR="0091716E">
        <w:rPr>
          <w:rFonts w:ascii="宋体" w:hAnsi="宋体" w:cs="Arial" w:hint="eastAsia"/>
          <w:sz w:val="24"/>
        </w:rPr>
        <w:t>五</w:t>
      </w:r>
      <w:r>
        <w:rPr>
          <w:rFonts w:ascii="宋体" w:hAnsi="宋体" w:cs="Arial" w:hint="eastAsia"/>
          <w:sz w:val="24"/>
        </w:rPr>
        <w:t>）基金转换</w:t>
      </w:r>
    </w:p>
    <w:p w14:paraId="0BEE97A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1.在本基金与基金管理人管理的其它基金开展转换业务之前，基金管理人应函告基金托管人并就相关事宜进行协商。</w:t>
      </w:r>
    </w:p>
    <w:p w14:paraId="5B3CA208" w14:textId="77777777"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020E7DF" w14:textId="77777777"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3.本基金开展基金转换业务应按相关法律法规规定及《基金合同》的约定进行公告。</w:t>
      </w:r>
    </w:p>
    <w:p w14:paraId="496C1D1E" w14:textId="0FF7EA81"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w:t>
      </w:r>
      <w:r w:rsidR="0091716E">
        <w:rPr>
          <w:rFonts w:ascii="宋体" w:hAnsi="宋体" w:cs="Arial" w:hint="eastAsia"/>
          <w:sz w:val="24"/>
        </w:rPr>
        <w:t>六</w:t>
      </w:r>
      <w:r>
        <w:rPr>
          <w:rFonts w:ascii="宋体" w:hAnsi="宋体" w:cs="Arial" w:hint="eastAsia"/>
          <w:sz w:val="24"/>
        </w:rPr>
        <w:t>）基金现金分红</w:t>
      </w:r>
    </w:p>
    <w:p w14:paraId="53A5F03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1.基金管理人确定分红方案通知基金托管人，双方核定后</w:t>
      </w:r>
      <w:r>
        <w:rPr>
          <w:rFonts w:ascii="宋体" w:hAnsi="宋体" w:hint="eastAsia"/>
          <w:sz w:val="24"/>
          <w:szCs w:val="18"/>
        </w:rPr>
        <w:t>依照《信息披露办法》的有关规定在中国证监会规定媒介上公告</w:t>
      </w:r>
      <w:r>
        <w:rPr>
          <w:rFonts w:ascii="宋体" w:hAnsi="宋体" w:cs="Arial" w:hint="eastAsia"/>
          <w:sz w:val="24"/>
        </w:rPr>
        <w:t>。</w:t>
      </w:r>
    </w:p>
    <w:p w14:paraId="1FFCA86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3AD4282B" w14:textId="77777777" w:rsidR="00353BD1" w:rsidRDefault="00064D22">
      <w:pPr>
        <w:spacing w:line="360" w:lineRule="auto"/>
        <w:ind w:firstLine="480"/>
        <w:rPr>
          <w:rFonts w:ascii="宋体" w:hAnsi="宋体" w:cs="Arial"/>
          <w:sz w:val="24"/>
        </w:rPr>
      </w:pPr>
      <w:r>
        <w:rPr>
          <w:rFonts w:ascii="宋体" w:hAnsi="宋体" w:cs="Arial" w:hint="eastAsia"/>
          <w:sz w:val="24"/>
        </w:rPr>
        <w:t>3.基金管理人在下达指令时，应给基金托管人留出必需的划款时间。</w:t>
      </w:r>
    </w:p>
    <w:p w14:paraId="7815C36C" w14:textId="34EC0BD7" w:rsidR="00353BD1" w:rsidRDefault="00064D22">
      <w:pPr>
        <w:spacing w:line="360" w:lineRule="auto"/>
        <w:ind w:firstLine="480"/>
        <w:rPr>
          <w:rFonts w:ascii="宋体" w:hAnsi="宋体" w:cs="Arial"/>
          <w:sz w:val="24"/>
        </w:rPr>
      </w:pPr>
      <w:r>
        <w:rPr>
          <w:rFonts w:ascii="宋体" w:hAnsi="宋体" w:cs="Arial" w:hint="eastAsia"/>
          <w:sz w:val="24"/>
        </w:rPr>
        <w:t>（</w:t>
      </w:r>
      <w:r w:rsidR="0091716E">
        <w:rPr>
          <w:rFonts w:ascii="宋体" w:hAnsi="宋体" w:cs="Arial" w:hint="eastAsia"/>
          <w:sz w:val="24"/>
        </w:rPr>
        <w:t>七</w:t>
      </w:r>
      <w:r>
        <w:rPr>
          <w:rFonts w:ascii="宋体" w:hAnsi="宋体" w:cs="Arial" w:hint="eastAsia"/>
          <w:sz w:val="24"/>
        </w:rPr>
        <w:t>）投资银行存款的特别约定</w:t>
      </w:r>
    </w:p>
    <w:p w14:paraId="75F70336" w14:textId="77777777" w:rsidR="00353BD1" w:rsidRDefault="00064D22">
      <w:pPr>
        <w:spacing w:line="360" w:lineRule="auto"/>
        <w:ind w:firstLine="480"/>
        <w:rPr>
          <w:rFonts w:ascii="宋体" w:hAnsi="宋体" w:cs="Arial"/>
          <w:sz w:val="24"/>
        </w:rPr>
      </w:pPr>
      <w:r>
        <w:rPr>
          <w:rFonts w:ascii="宋体" w:hAnsi="宋体" w:cs="Arial" w:hint="eastAsia"/>
          <w:sz w:val="24"/>
        </w:rPr>
        <w:t>1.本基金投资银行存款前，基金管理人应与存款银行签订具体存款协议，包括但不限于以下内容：</w:t>
      </w:r>
    </w:p>
    <w:p w14:paraId="20432DEC" w14:textId="77777777" w:rsidR="00353BD1" w:rsidRDefault="00064D22">
      <w:pPr>
        <w:spacing w:line="360" w:lineRule="auto"/>
        <w:ind w:firstLine="480"/>
        <w:rPr>
          <w:rFonts w:ascii="宋体" w:hAnsi="宋体" w:cs="Arial"/>
          <w:sz w:val="24"/>
        </w:rPr>
      </w:pPr>
      <w:r>
        <w:rPr>
          <w:rFonts w:ascii="宋体"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4C458196" w14:textId="77777777" w:rsidR="00353BD1" w:rsidRDefault="00064D22">
      <w:pPr>
        <w:spacing w:line="360" w:lineRule="auto"/>
        <w:ind w:firstLine="480"/>
        <w:rPr>
          <w:rFonts w:ascii="宋体" w:hAnsi="宋体" w:cs="Arial"/>
          <w:sz w:val="24"/>
        </w:rPr>
      </w:pPr>
      <w:r>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18942F1" w14:textId="77777777" w:rsidR="00353BD1" w:rsidRDefault="00064D22">
      <w:pPr>
        <w:spacing w:line="360" w:lineRule="auto"/>
        <w:ind w:firstLine="480"/>
        <w:rPr>
          <w:rFonts w:ascii="宋体" w:hAnsi="宋体" w:cs="Arial"/>
          <w:sz w:val="24"/>
        </w:rPr>
      </w:pPr>
      <w:r>
        <w:rPr>
          <w:rFonts w:ascii="宋体" w:hAnsi="宋体" w:cs="Arial" w:hint="eastAsia"/>
          <w:sz w:val="24"/>
        </w:rPr>
        <w:t>（3）约定存款证实书的具体传递交接方式及交接期限。</w:t>
      </w:r>
    </w:p>
    <w:p w14:paraId="29D9DD29" w14:textId="77777777" w:rsidR="00353BD1" w:rsidRDefault="00064D22">
      <w:pPr>
        <w:spacing w:line="360" w:lineRule="auto"/>
        <w:ind w:firstLine="480"/>
        <w:rPr>
          <w:rFonts w:ascii="宋体" w:hAnsi="宋体" w:cs="Arial"/>
          <w:sz w:val="24"/>
        </w:rPr>
      </w:pPr>
      <w:r>
        <w:rPr>
          <w:rFonts w:ascii="宋体" w:hAnsi="宋体" w:cs="Arial" w:hint="eastAsia"/>
          <w:sz w:val="24"/>
        </w:rPr>
        <w:t>（4）资金划转过程中需要使用存款银行过渡账户的，存款银行须保证资金在过渡账户中不出现滞留，不被挪用。</w:t>
      </w:r>
    </w:p>
    <w:p w14:paraId="26063DE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w:t>
      </w:r>
      <w:r>
        <w:rPr>
          <w:rFonts w:ascii="宋体" w:hAnsi="宋体" w:cs="Arial" w:hint="eastAsia"/>
          <w:sz w:val="24"/>
        </w:rPr>
        <w:lastRenderedPageBreak/>
        <w:t>户证实书进行保管，不负责对存款开户证实书真伪的辨别，不承担存款开户证实书对应存款的本金及收益的安全。</w:t>
      </w:r>
    </w:p>
    <w:p w14:paraId="588239E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6F47BC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Pr>
          <w:rFonts w:ascii="宋体" w:hAnsi="宋体" w:cs="Arial"/>
          <w:sz w:val="24"/>
        </w:rPr>
        <w:t>1</w:t>
      </w:r>
      <w:r>
        <w:rPr>
          <w:rFonts w:ascii="宋体" w:hAnsi="宋体" w:cs="Arial" w:hint="eastAsia"/>
          <w:sz w:val="24"/>
        </w:rPr>
        <w:t>）建立风险预警机制，对于实物凭证未送达集中度较高的存款银行，主动发函管理人尽量避免在此类银行进行存款投资；（</w:t>
      </w:r>
      <w:r>
        <w:rPr>
          <w:rFonts w:ascii="宋体" w:hAnsi="宋体" w:cs="Arial"/>
          <w:sz w:val="24"/>
        </w:rPr>
        <w:t>2</w:t>
      </w:r>
      <w:r>
        <w:rPr>
          <w:rFonts w:ascii="宋体" w:hAnsi="宋体" w:cs="Arial" w:hint="eastAsia"/>
          <w:sz w:val="24"/>
        </w:rPr>
        <w:t>）在定期报告中，对未按约定送达基金托管人保管的实物凭证信息进行规定范围信息披露；（</w:t>
      </w:r>
      <w:r>
        <w:rPr>
          <w:rFonts w:ascii="宋体" w:hAnsi="宋体" w:cs="Arial"/>
          <w:sz w:val="24"/>
        </w:rPr>
        <w:t>3</w:t>
      </w:r>
      <w:r>
        <w:rPr>
          <w:rFonts w:ascii="宋体" w:hAnsi="宋体" w:cs="Arial" w:hint="eastAsia"/>
          <w:sz w:val="24"/>
        </w:rPr>
        <w:t>）未送达实物凭证超过送单截止日后</w:t>
      </w:r>
      <w:r>
        <w:rPr>
          <w:rFonts w:ascii="宋体" w:hAnsi="宋体" w:cs="Arial"/>
          <w:sz w:val="24"/>
        </w:rPr>
        <w:t>30</w:t>
      </w:r>
      <w:r>
        <w:rPr>
          <w:rFonts w:ascii="宋体" w:hAnsi="宋体" w:cs="Arial" w:hint="eastAsia"/>
          <w:sz w:val="24"/>
        </w:rPr>
        <w:t>个工作日，且累计超过</w:t>
      </w:r>
      <w:r>
        <w:rPr>
          <w:rFonts w:ascii="宋体" w:hAnsi="宋体" w:cs="Arial"/>
          <w:sz w:val="24"/>
        </w:rPr>
        <w:t>3</w:t>
      </w:r>
      <w:r>
        <w:rPr>
          <w:rFonts w:ascii="宋体" w:hAnsi="宋体" w:cs="Arial" w:hint="eastAsia"/>
          <w:sz w:val="24"/>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3C3E77B6" w14:textId="77777777" w:rsidR="00353BD1" w:rsidRDefault="00353BD1">
      <w:pPr>
        <w:adjustRightInd w:val="0"/>
        <w:snapToGrid w:val="0"/>
        <w:spacing w:line="360" w:lineRule="auto"/>
        <w:ind w:firstLineChars="200" w:firstLine="480"/>
        <w:rPr>
          <w:rFonts w:ascii="宋体" w:hAnsi="宋体" w:cs="Arial"/>
          <w:sz w:val="24"/>
        </w:rPr>
      </w:pPr>
    </w:p>
    <w:p w14:paraId="43834DD8" w14:textId="77777777" w:rsidR="00353BD1" w:rsidRDefault="00064D22">
      <w:pPr>
        <w:pStyle w:val="2"/>
        <w:spacing w:line="360" w:lineRule="auto"/>
        <w:jc w:val="center"/>
        <w:rPr>
          <w:rFonts w:ascii="宋体" w:eastAsia="宋体" w:hAnsi="宋体"/>
          <w:sz w:val="30"/>
        </w:rPr>
      </w:pPr>
      <w:bookmarkStart w:id="96" w:name="_Toc124325892"/>
      <w:r>
        <w:rPr>
          <w:rFonts w:ascii="宋体" w:eastAsia="宋体" w:hAnsi="宋体" w:hint="eastAsia"/>
          <w:sz w:val="30"/>
        </w:rPr>
        <w:t>八、基金资产净值计算和会计核算</w:t>
      </w:r>
      <w:bookmarkEnd w:id="96"/>
    </w:p>
    <w:p w14:paraId="1F4E314F"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（一）基金资产净值的计算、复核与完成的时间及程序</w:t>
      </w:r>
    </w:p>
    <w:p w14:paraId="15C6756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1.基金资产净值是指基金资产总值减去负债后的金额。各类基金份额净值是按照每个估值日闭市后，各类基金份额的基金资产净值除以当日该类基金份额的余额总数计算，均精确到0.00</w:t>
      </w:r>
      <w:r>
        <w:rPr>
          <w:rFonts w:ascii="宋体" w:hAnsi="宋体" w:cs="Arial"/>
          <w:sz w:val="24"/>
        </w:rPr>
        <w:t>0</w:t>
      </w:r>
      <w:r>
        <w:rPr>
          <w:rFonts w:ascii="宋体" w:hAnsi="宋体" w:cs="Arial" w:hint="eastAsia"/>
          <w:sz w:val="24"/>
        </w:rPr>
        <w:t>1元，小数点后第五位四舍五入。基金管理人可以设立大额赎回情形下的净值精度应急调整机制。国家另有规定的，从其规定。</w:t>
      </w:r>
    </w:p>
    <w:p w14:paraId="799196E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每个估值日计算基金资产净值及各类基金份额净值，并按规定公告。</w:t>
      </w:r>
    </w:p>
    <w:p w14:paraId="6156EA2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5E61593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（二）基金资产估值方法和特殊情形的处理</w:t>
      </w:r>
    </w:p>
    <w:p w14:paraId="57A79F2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本基金的估值对象为基金所拥有的股票、债券、衍生工具、资产支持证券和银行存款本息、应收款项、其它投资等资产及负债。</w:t>
      </w:r>
    </w:p>
    <w:p w14:paraId="549108F6" w14:textId="77777777" w:rsidR="00353BD1" w:rsidRDefault="00064D22">
      <w:pPr>
        <w:spacing w:line="360" w:lineRule="auto"/>
        <w:ind w:firstLineChars="200" w:firstLine="480"/>
        <w:rPr>
          <w:rFonts w:asciiTheme="minorEastAsia" w:hAnsiTheme="minorEastAsia"/>
          <w:bCs/>
          <w:sz w:val="24"/>
        </w:rPr>
      </w:pPr>
      <w:r>
        <w:rPr>
          <w:rFonts w:asciiTheme="minorEastAsia" w:hAnsiTheme="minorEastAsia" w:hint="eastAsia"/>
          <w:bCs/>
          <w:sz w:val="24"/>
        </w:rPr>
        <w:t>本基金所持有的投资品种，按如下原则进行估值：</w:t>
      </w:r>
    </w:p>
    <w:p w14:paraId="5B1199E3" w14:textId="77777777" w:rsidR="00353BD1" w:rsidRDefault="00064D22">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4D496F1B" w14:textId="77777777" w:rsidR="00353BD1" w:rsidRDefault="00064D22">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385041" w14:textId="77777777" w:rsidR="00353BD1" w:rsidRDefault="00064D2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p>
    <w:p w14:paraId="2C6B813E" w14:textId="77777777" w:rsidR="00353BD1" w:rsidRDefault="00064D2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349E0C5" w14:textId="77777777" w:rsidR="00353BD1" w:rsidRDefault="00064D2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p>
    <w:p w14:paraId="3440B6B7" w14:textId="77777777" w:rsidR="00353BD1" w:rsidRDefault="00064D22">
      <w:pPr>
        <w:spacing w:line="360" w:lineRule="auto"/>
        <w:ind w:firstLineChars="200" w:firstLine="480"/>
        <w:rPr>
          <w:bCs/>
          <w:sz w:val="24"/>
        </w:rPr>
      </w:pPr>
      <w:r>
        <w:rPr>
          <w:rFonts w:hint="eastAsia"/>
          <w:bCs/>
          <w:sz w:val="24"/>
        </w:rPr>
        <w:t>2</w:t>
      </w:r>
      <w:r>
        <w:rPr>
          <w:bCs/>
          <w:sz w:val="24"/>
        </w:rPr>
        <w:t>.</w:t>
      </w:r>
      <w:r>
        <w:rPr>
          <w:rFonts w:hint="eastAsia"/>
          <w:bCs/>
          <w:sz w:val="24"/>
        </w:rPr>
        <w:t>处于未上市期间或流通受限的有价证券应区分如下情况处理：</w:t>
      </w:r>
    </w:p>
    <w:p w14:paraId="31AE5975" w14:textId="77777777" w:rsidR="00353BD1" w:rsidRDefault="00064D22">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08AAA238" w14:textId="77777777" w:rsidR="00353BD1" w:rsidRDefault="00064D2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151DE11D" w14:textId="77777777" w:rsidR="00353BD1" w:rsidRDefault="00064D2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651D3CD" w14:textId="77777777" w:rsidR="00353BD1" w:rsidRDefault="00064D2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7C373723" w14:textId="77777777" w:rsidR="00353BD1" w:rsidRDefault="00064D22">
      <w:pPr>
        <w:spacing w:line="360" w:lineRule="auto"/>
        <w:ind w:firstLineChars="200" w:firstLine="480"/>
        <w:rPr>
          <w:bCs/>
          <w:sz w:val="24"/>
        </w:rPr>
      </w:pPr>
      <w:r>
        <w:rPr>
          <w:rFonts w:hint="eastAsia"/>
          <w:bCs/>
          <w:sz w:val="24"/>
        </w:rPr>
        <w:lastRenderedPageBreak/>
        <w:t>3.</w:t>
      </w:r>
      <w:r>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6D4B277B" w14:textId="77777777" w:rsidR="00353BD1" w:rsidRDefault="00064D22">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77369DEE" w14:textId="77777777" w:rsidR="00353BD1" w:rsidRDefault="00064D22">
      <w:pPr>
        <w:spacing w:line="360" w:lineRule="auto"/>
        <w:ind w:firstLineChars="200" w:firstLine="480"/>
        <w:rPr>
          <w:bCs/>
          <w:sz w:val="24"/>
        </w:rPr>
      </w:pPr>
      <w:r>
        <w:rPr>
          <w:rFonts w:hint="eastAsia"/>
          <w:bCs/>
          <w:sz w:val="24"/>
        </w:rPr>
        <w:t>4.</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555A43B" w14:textId="77777777" w:rsidR="00353BD1" w:rsidRDefault="00064D22">
      <w:pPr>
        <w:spacing w:line="360" w:lineRule="auto"/>
        <w:ind w:firstLineChars="200" w:firstLine="480"/>
        <w:rPr>
          <w:bCs/>
          <w:sz w:val="24"/>
        </w:rPr>
      </w:pPr>
      <w:r>
        <w:rPr>
          <w:rFonts w:hint="eastAsia"/>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18A2D25" w14:textId="77777777" w:rsidR="00353BD1" w:rsidRDefault="00064D22">
      <w:pPr>
        <w:spacing w:line="360" w:lineRule="auto"/>
        <w:ind w:firstLineChars="200" w:firstLine="480"/>
        <w:rPr>
          <w:bCs/>
          <w:sz w:val="24"/>
        </w:rPr>
      </w:pPr>
      <w:r>
        <w:rPr>
          <w:rFonts w:hint="eastAsia"/>
          <w:bCs/>
          <w:sz w:val="24"/>
        </w:rPr>
        <w:t>6.</w:t>
      </w:r>
      <w:r>
        <w:rPr>
          <w:rFonts w:hint="eastAsia"/>
          <w:bCs/>
          <w:sz w:val="24"/>
        </w:rPr>
        <w:t>同一证券同时在两个或两个以上市场交易的，按证券所处的市场分别估值。</w:t>
      </w:r>
    </w:p>
    <w:p w14:paraId="6CF2C9BE" w14:textId="77777777" w:rsidR="00353BD1" w:rsidRDefault="00064D22">
      <w:pPr>
        <w:spacing w:line="360" w:lineRule="auto"/>
        <w:ind w:firstLineChars="200" w:firstLine="480"/>
        <w:rPr>
          <w:bCs/>
          <w:sz w:val="24"/>
        </w:rPr>
      </w:pPr>
      <w:r>
        <w:rPr>
          <w:rFonts w:hint="eastAsia"/>
          <w:bCs/>
          <w:sz w:val="24"/>
        </w:rPr>
        <w:t>7.</w:t>
      </w:r>
      <w:r>
        <w:rPr>
          <w:rFonts w:hint="eastAsia"/>
          <w:bCs/>
          <w:sz w:val="24"/>
        </w:rPr>
        <w:t>期货合约以估值当日结算价进行估值，估值当日无结算价的，且最近交易日后经济环境未发生重大变化的，采用最近交易日结算价估值。</w:t>
      </w:r>
    </w:p>
    <w:p w14:paraId="39326E0B" w14:textId="77777777" w:rsidR="00353BD1" w:rsidRDefault="00064D22">
      <w:pPr>
        <w:spacing w:line="360" w:lineRule="auto"/>
        <w:ind w:firstLineChars="200" w:firstLine="480"/>
        <w:rPr>
          <w:bCs/>
          <w:sz w:val="24"/>
        </w:rPr>
      </w:pPr>
      <w:r>
        <w:rPr>
          <w:rFonts w:hint="eastAsia"/>
          <w:bCs/>
          <w:sz w:val="24"/>
        </w:rPr>
        <w:t>8.</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5EB464C0" w14:textId="77777777" w:rsidR="00353BD1" w:rsidRDefault="00064D22">
      <w:pPr>
        <w:spacing w:line="360" w:lineRule="auto"/>
        <w:ind w:firstLineChars="200"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498A01E6" w14:textId="77777777" w:rsidR="00353BD1" w:rsidRDefault="00064D22">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E77C0D3" w14:textId="77777777" w:rsidR="00353BD1" w:rsidRDefault="00064D22">
      <w:pPr>
        <w:spacing w:line="360" w:lineRule="auto"/>
        <w:ind w:firstLineChars="200" w:firstLine="480"/>
        <w:rPr>
          <w:bCs/>
          <w:sz w:val="24"/>
        </w:rPr>
      </w:pPr>
      <w:r>
        <w:rPr>
          <w:rFonts w:hint="eastAsia"/>
          <w:bCs/>
          <w:sz w:val="24"/>
        </w:rPr>
        <w:lastRenderedPageBreak/>
        <w:t>9.</w:t>
      </w:r>
      <w:r>
        <w:rPr>
          <w:rFonts w:hint="eastAsia"/>
          <w:bCs/>
          <w:sz w:val="24"/>
        </w:rPr>
        <w:t>当本基金发生大额申购或赎回情形时，基金管理人可以采用摆动定价机制，以确保基金估值的公平性。</w:t>
      </w:r>
    </w:p>
    <w:p w14:paraId="632D4A8C" w14:textId="77777777" w:rsidR="00353BD1" w:rsidRDefault="00064D22">
      <w:pPr>
        <w:spacing w:line="360" w:lineRule="auto"/>
        <w:ind w:firstLineChars="200" w:firstLine="480"/>
        <w:rPr>
          <w:bCs/>
          <w:sz w:val="24"/>
        </w:rPr>
      </w:pPr>
      <w:r>
        <w:rPr>
          <w:rFonts w:hint="eastAsia"/>
          <w:bCs/>
          <w:sz w:val="24"/>
        </w:rPr>
        <w:t>1</w:t>
      </w:r>
      <w:r>
        <w:rPr>
          <w:bCs/>
          <w:sz w:val="24"/>
        </w:rPr>
        <w:t>0</w:t>
      </w:r>
      <w:r>
        <w:rPr>
          <w:rFonts w:hint="eastAsia"/>
          <w:bCs/>
          <w:sz w:val="24"/>
        </w:rPr>
        <w:t>.</w:t>
      </w:r>
      <w:r>
        <w:rPr>
          <w:rFonts w:hint="eastAsia"/>
          <w:bCs/>
          <w:sz w:val="24"/>
        </w:rPr>
        <w:t>本基金投资存托凭证的估值核算，依照境内上市交易的股票执行。</w:t>
      </w:r>
    </w:p>
    <w:p w14:paraId="5B91CC47" w14:textId="77777777" w:rsidR="00353BD1" w:rsidRDefault="00064D22">
      <w:pPr>
        <w:spacing w:line="360" w:lineRule="auto"/>
        <w:ind w:firstLineChars="200" w:firstLine="480"/>
        <w:rPr>
          <w:bCs/>
          <w:sz w:val="24"/>
        </w:rPr>
      </w:pPr>
      <w:r>
        <w:rPr>
          <w:rFonts w:hint="eastAsia"/>
          <w:bCs/>
          <w:sz w:val="24"/>
        </w:rPr>
        <w:t>1</w:t>
      </w:r>
      <w:r>
        <w:rPr>
          <w:bCs/>
          <w:sz w:val="24"/>
        </w:rPr>
        <w:t>1</w:t>
      </w:r>
      <w:r>
        <w:rPr>
          <w:rFonts w:hint="eastAsia"/>
          <w:bCs/>
          <w:sz w:val="24"/>
        </w:rPr>
        <w:t>.</w:t>
      </w:r>
      <w:r>
        <w:rPr>
          <w:rFonts w:hint="eastAsia"/>
          <w:bCs/>
          <w:sz w:val="24"/>
        </w:rPr>
        <w:t>本基金投资股票期权，根据相关法律法规以及监管部门的规定估值。</w:t>
      </w:r>
    </w:p>
    <w:p w14:paraId="6F9EC61A" w14:textId="4D9DB124" w:rsidR="00353BD1" w:rsidRDefault="00064D22" w:rsidP="006E6C04">
      <w:pPr>
        <w:spacing w:line="360" w:lineRule="auto"/>
        <w:ind w:firstLineChars="200" w:firstLine="480"/>
        <w:rPr>
          <w:bCs/>
          <w:sz w:val="24"/>
        </w:rPr>
      </w:pPr>
      <w:r>
        <w:rPr>
          <w:rFonts w:hint="eastAsia"/>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3922D1C6" w14:textId="138CB082" w:rsidR="00353BD1" w:rsidRDefault="006E6C04">
      <w:pPr>
        <w:spacing w:line="360" w:lineRule="auto"/>
        <w:ind w:firstLineChars="200" w:firstLine="480"/>
        <w:rPr>
          <w:bCs/>
          <w:sz w:val="24"/>
        </w:rPr>
      </w:pPr>
      <w:r>
        <w:rPr>
          <w:rFonts w:hint="eastAsia"/>
          <w:bCs/>
          <w:sz w:val="24"/>
        </w:rPr>
        <w:t>1</w:t>
      </w:r>
      <w:r>
        <w:rPr>
          <w:bCs/>
          <w:sz w:val="24"/>
        </w:rPr>
        <w:t>3</w:t>
      </w:r>
      <w:r w:rsidR="00064D22">
        <w:rPr>
          <w:rFonts w:hint="eastAsia"/>
          <w:bCs/>
          <w:sz w:val="24"/>
        </w:rPr>
        <w:t>.</w:t>
      </w:r>
      <w:r w:rsidR="00064D22">
        <w:rPr>
          <w:rFonts w:hint="eastAsia"/>
          <w:bCs/>
          <w:sz w:val="24"/>
        </w:rPr>
        <w:t>相关法律法规以及监管部门有强制规定的，从其规定。如有新增事项，按国家最新规定估值。</w:t>
      </w:r>
    </w:p>
    <w:p w14:paraId="07D67C5D" w14:textId="77777777" w:rsidR="00353BD1" w:rsidRDefault="00064D22">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A6DB0AF" w14:textId="77777777" w:rsidR="00353BD1" w:rsidRDefault="00064D22">
      <w:pPr>
        <w:adjustRightInd w:val="0"/>
        <w:snapToGrid w:val="0"/>
        <w:spacing w:line="360" w:lineRule="auto"/>
        <w:ind w:firstLine="480"/>
        <w:rPr>
          <w:rFonts w:ascii="宋体" w:hAnsi="宋体"/>
          <w:sz w:val="24"/>
          <w:szCs w:val="21"/>
        </w:rPr>
      </w:pPr>
      <w:r>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6D200C8D" w14:textId="46969418" w:rsidR="00353BD1" w:rsidRDefault="00064D22">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基金管理人、基金托管人按估值方法的</w:t>
      </w:r>
      <w:r w:rsidR="003D2A48">
        <w:rPr>
          <w:rStyle w:val="read"/>
          <w:rFonts w:ascii="宋体" w:hAnsi="宋体" w:cs="Arial" w:hint="eastAsia"/>
          <w:sz w:val="24"/>
        </w:rPr>
        <w:t>第</w:t>
      </w:r>
      <w:r w:rsidR="003D2A48">
        <w:rPr>
          <w:rStyle w:val="read"/>
          <w:rFonts w:ascii="宋体" w:hAnsi="宋体" w:cs="Arial"/>
          <w:sz w:val="24"/>
        </w:rPr>
        <w:t>12</w:t>
      </w:r>
      <w:r>
        <w:rPr>
          <w:rStyle w:val="read"/>
          <w:rFonts w:ascii="宋体" w:hAnsi="宋体" w:cs="Arial" w:hint="eastAsia"/>
          <w:sz w:val="24"/>
        </w:rPr>
        <w:t>项进行估值时，所造成的误差不作为基金份</w:t>
      </w:r>
      <w:r>
        <w:rPr>
          <w:rStyle w:val="read"/>
          <w:rFonts w:ascii="宋体" w:hAnsi="宋体" w:hint="eastAsia"/>
          <w:sz w:val="24"/>
        </w:rPr>
        <w:t>额净值错误处理。</w:t>
      </w:r>
    </w:p>
    <w:p w14:paraId="018E7B68" w14:textId="77777777" w:rsidR="00353BD1" w:rsidRDefault="00064D22">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（三）基金份额净值错误的处理方式</w:t>
      </w:r>
    </w:p>
    <w:p w14:paraId="5220F3C3" w14:textId="77777777" w:rsidR="00353BD1" w:rsidRDefault="00064D22">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1.当任一类基金份额净值小数点后</w:t>
      </w:r>
      <w:r>
        <w:rPr>
          <w:rStyle w:val="read"/>
          <w:rFonts w:ascii="宋体" w:hAnsi="宋体"/>
          <w:sz w:val="24"/>
        </w:rPr>
        <w:t>4</w:t>
      </w:r>
      <w:r>
        <w:rPr>
          <w:rStyle w:val="read"/>
          <w:rFonts w:ascii="宋体" w:hAnsi="宋体" w:hint="eastAsia"/>
          <w:sz w:val="24"/>
        </w:rPr>
        <w:t>位以内(含第</w:t>
      </w:r>
      <w:r>
        <w:rPr>
          <w:rStyle w:val="read"/>
          <w:rFonts w:ascii="宋体" w:hAnsi="宋体"/>
          <w:sz w:val="24"/>
        </w:rPr>
        <w:t>4</w:t>
      </w:r>
      <w:r>
        <w:rPr>
          <w:rStyle w:val="read"/>
          <w:rFonts w:ascii="宋体" w:hAnsi="宋体" w:hint="eastAsia"/>
          <w:sz w:val="24"/>
        </w:rPr>
        <w:t>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Pr>
          <w:rFonts w:ascii="宋体" w:hAnsi="宋体" w:cs="Arial" w:hint="eastAsia"/>
          <w:sz w:val="24"/>
        </w:rPr>
        <w:t>；错误偏差达到该类基金份额净值的</w:t>
      </w:r>
      <w:r>
        <w:rPr>
          <w:rFonts w:ascii="宋体" w:hAnsi="宋体" w:hint="eastAsia"/>
          <w:sz w:val="24"/>
        </w:rPr>
        <w:t>0.5%时，基金管理人应当公告</w:t>
      </w:r>
      <w:r>
        <w:rPr>
          <w:rFonts w:ascii="宋体" w:hAnsi="宋体" w:cs="Arial" w:hint="eastAsia"/>
          <w:sz w:val="24"/>
        </w:rPr>
        <w:t>，并报中国证监会备案</w:t>
      </w:r>
      <w:r>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55345568" w14:textId="77777777" w:rsidR="00353BD1" w:rsidRDefault="00064D22">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53BD6CB8" w14:textId="77777777" w:rsidR="00353BD1" w:rsidRDefault="00064D22">
      <w:pPr>
        <w:adjustRightInd w:val="0"/>
        <w:snapToGrid w:val="0"/>
        <w:spacing w:line="360" w:lineRule="auto"/>
        <w:ind w:firstLineChars="200" w:firstLine="480"/>
        <w:rPr>
          <w:rFonts w:ascii="宋体" w:hAnsi="宋体" w:cs="Arial"/>
          <w:sz w:val="24"/>
        </w:rPr>
      </w:pPr>
      <w:r>
        <w:rPr>
          <w:rStyle w:val="read"/>
          <w:rFonts w:ascii="宋体" w:hAnsi="宋体" w:hint="eastAsia"/>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Arial" w:hint="eastAsia"/>
          <w:sz w:val="24"/>
        </w:rPr>
        <w:t>损失，由基金管理人负责赔付。</w:t>
      </w:r>
    </w:p>
    <w:p w14:paraId="2500A4F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4C459B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(3)如基金管理人和基金托管人对</w:t>
      </w:r>
      <w:r>
        <w:rPr>
          <w:rFonts w:ascii="宋体" w:hAnsi="宋体" w:hint="eastAsia"/>
          <w:kern w:val="0"/>
          <w:sz w:val="24"/>
        </w:rPr>
        <w:t>各类</w:t>
      </w:r>
      <w:r>
        <w:rPr>
          <w:rFonts w:ascii="宋体" w:hAnsi="宋体" w:cs="Arial" w:hint="eastAsia"/>
          <w:sz w:val="24"/>
        </w:rPr>
        <w:t>基金份额净值的计算结果，虽然多次重新计算和核对，尚不能达成一致时，为避免不能按时公布</w:t>
      </w:r>
      <w:r>
        <w:rPr>
          <w:rFonts w:ascii="宋体" w:hAnsi="宋体" w:hint="eastAsia"/>
          <w:kern w:val="0"/>
          <w:sz w:val="24"/>
        </w:rPr>
        <w:t>各类</w:t>
      </w:r>
      <w:r>
        <w:rPr>
          <w:rFonts w:ascii="宋体" w:hAnsi="宋体" w:cs="Arial" w:hint="eastAsia"/>
          <w:sz w:val="24"/>
        </w:rPr>
        <w:t>基金份额净值的情形，以基金管理人的计算结果对外公布，由此给基金份额持有人和基金造成的损失，由基金管理人负责赔付。</w:t>
      </w:r>
    </w:p>
    <w:p w14:paraId="1BB282B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A4E94E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3B25E1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4.基金管理人和基金托管人由于各自技术系统设置而产生的净值计算尾差，以基金管理人计算结果为准。</w:t>
      </w:r>
    </w:p>
    <w:p w14:paraId="0CD191B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5ECF299C"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（四）暂停估值与公告基金份额净值的情形</w:t>
      </w:r>
    </w:p>
    <w:p w14:paraId="4C7C3E9B"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1.基金投资所涉及的证券交易市场遇法定节假日或因其他原因暂停营业时；</w:t>
      </w:r>
    </w:p>
    <w:p w14:paraId="557AA09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2.因不可抗力致使基金管理人、基金托管人无法准确评估基金资产价值时；</w:t>
      </w:r>
    </w:p>
    <w:p w14:paraId="5C6FAA5A" w14:textId="20203E4F"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3.</w:t>
      </w:r>
      <w:r w:rsidR="001115B3" w:rsidRPr="001115B3">
        <w:rPr>
          <w:rFonts w:hint="eastAsia"/>
        </w:rPr>
        <w:t xml:space="preserve"> </w:t>
      </w:r>
      <w:r w:rsidR="001115B3" w:rsidRPr="001115B3">
        <w:rPr>
          <w:rFonts w:ascii="宋体" w:hAnsi="宋体" w:cs="Arial" w:hint="eastAsia"/>
          <w:sz w:val="24"/>
        </w:rPr>
        <w:t>当特定资产占前一估值日基金资产净值50%以上的，经与基金托管人协商确认后，基金管理人应当暂停估值；</w:t>
      </w:r>
    </w:p>
    <w:p w14:paraId="42E7354F"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4.中国证监会和《基金合同》认定的其他情形。</w:t>
      </w:r>
    </w:p>
    <w:p w14:paraId="3AF4DFC8"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（五）实施侧袋机制期间的基金资产估值</w:t>
      </w:r>
    </w:p>
    <w:p w14:paraId="5F39CB7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本基金实施侧袋机制的，应根据本部分的约定对主袋账户资产进行估值并披露主袋账户的基金净值信息，暂停披露侧袋账户份额净值。</w:t>
      </w:r>
    </w:p>
    <w:p w14:paraId="473F0C23"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（六）基金会计制度</w:t>
      </w:r>
    </w:p>
    <w:p w14:paraId="58C1833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按国家有关部门规定的会计制度执行。</w:t>
      </w:r>
    </w:p>
    <w:p w14:paraId="12D4A3EA"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（七）基金账册的建立</w:t>
      </w:r>
    </w:p>
    <w:p w14:paraId="02A0F8F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747ADA1D"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（八）基金财务报表与报告的编制和复核</w:t>
      </w:r>
    </w:p>
    <w:p w14:paraId="280E7CF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1.财务报表的编制</w:t>
      </w:r>
    </w:p>
    <w:p w14:paraId="4EDC752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基金财务报表由基金管理人编制，基金托管人复核。</w:t>
      </w:r>
    </w:p>
    <w:p w14:paraId="7A8660A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2.报表复核</w:t>
      </w:r>
    </w:p>
    <w:p w14:paraId="1037F06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4D0F006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3.财务报表的编制与复核时间安排</w:t>
      </w:r>
    </w:p>
    <w:p w14:paraId="5390415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(1)报表的编制</w:t>
      </w:r>
    </w:p>
    <w:p w14:paraId="6027AE7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6D5C57AD"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(2)报表的复核</w:t>
      </w:r>
    </w:p>
    <w:p w14:paraId="0A9C8941"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24A2A67"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基金管理人应留足充分的时间，便于基金托管人复核相关报表及报告。如果基金管理人与基金托管人不能于应当发布公告之日之前就相关报表达成一致，基金</w:t>
      </w:r>
      <w:r>
        <w:rPr>
          <w:rFonts w:ascii="宋体" w:hAnsi="宋体" w:cs="Arial" w:hint="eastAsia"/>
          <w:sz w:val="24"/>
        </w:rPr>
        <w:lastRenderedPageBreak/>
        <w:t>管理人按照其编制的报表对外发布公告，基金托管人有权就相关情况报中国证监会备案。</w:t>
      </w:r>
    </w:p>
    <w:p w14:paraId="62497633"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（九）基金管理人应在编制季度报告、中期报告或者年度报告之前及时向基金托管人提供基金业绩比较基准的基础数据和编制结果。</w:t>
      </w:r>
    </w:p>
    <w:p w14:paraId="374878FD" w14:textId="77777777" w:rsidR="00353BD1" w:rsidRDefault="00353BD1">
      <w:pPr>
        <w:pStyle w:val="a0"/>
        <w:adjustRightInd w:val="0"/>
        <w:snapToGrid w:val="0"/>
        <w:spacing w:line="360" w:lineRule="auto"/>
        <w:ind w:firstLineChars="0" w:firstLine="0"/>
        <w:rPr>
          <w:rFonts w:ascii="宋体" w:hAnsi="宋体" w:cs="Arial"/>
          <w:sz w:val="24"/>
        </w:rPr>
      </w:pPr>
    </w:p>
    <w:p w14:paraId="7256626A" w14:textId="77777777" w:rsidR="00353BD1" w:rsidRDefault="00064D22">
      <w:pPr>
        <w:pStyle w:val="2"/>
        <w:spacing w:line="360" w:lineRule="auto"/>
        <w:jc w:val="center"/>
        <w:rPr>
          <w:rFonts w:ascii="宋体" w:eastAsia="宋体" w:hAnsi="宋体"/>
          <w:sz w:val="30"/>
        </w:rPr>
      </w:pPr>
      <w:bookmarkStart w:id="97" w:name="_Toc124325893"/>
      <w:r>
        <w:rPr>
          <w:rFonts w:ascii="宋体" w:eastAsia="宋体" w:hAnsi="宋体" w:hint="eastAsia"/>
          <w:sz w:val="30"/>
        </w:rPr>
        <w:t>九、基金收益分配</w:t>
      </w:r>
      <w:bookmarkEnd w:id="97"/>
    </w:p>
    <w:p w14:paraId="770A7AE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基金收益分配是指按规定将基金的可分配收益按基金份额进行比例分配。</w:t>
      </w:r>
    </w:p>
    <w:p w14:paraId="681A26F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（一）基金收益分配的原则</w:t>
      </w:r>
    </w:p>
    <w:p w14:paraId="4E55C85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基金收益分配应遵循下列原则：</w:t>
      </w:r>
    </w:p>
    <w:p w14:paraId="4BF3A00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1.在符合有关基金分红条件的前提下，基金管理人可以根据实际情况进行收益分配，具体分配方案以公告为准。若《基金合同》生效不满3个月可不进行收益分配；</w:t>
      </w:r>
    </w:p>
    <w:p w14:paraId="5C4FE285" w14:textId="62706A6C"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2.本基金收益分配方式为现金分红；</w:t>
      </w:r>
    </w:p>
    <w:p w14:paraId="7FB1F34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3.基金收益分配后各类基金份额净值不能低于面值；即基金收益分配基准日的各类基金份额净值减去每单位该类基金份额收益分配金额后不能低于面值；</w:t>
      </w:r>
    </w:p>
    <w:p w14:paraId="68D02C9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由于本基金A类基金份额不收取销售服务费，而C类基金份额收取销售服务费，不同类别基金份额对应的可供分配收益将有所不同，基金管理人可对各类别基金份额分别制定收益分配方案。本基金同一类别的每一基金份额享有同等分配权；</w:t>
      </w:r>
    </w:p>
    <w:p w14:paraId="154B5F5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5.法律法规或监管机关另有规定的，从其规定。</w:t>
      </w:r>
    </w:p>
    <w:p w14:paraId="079484B0" w14:textId="0DAF8CF3"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67B31ABE"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（二）基金收益分配的时间和程序</w:t>
      </w:r>
    </w:p>
    <w:p w14:paraId="5D15DDD0"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收益分配方案由基金管理人拟订，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2AEB58E5" w14:textId="15631D10"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基金收益分配时所发生的银行转账或其他手续费用由投资者自行承担。</w:t>
      </w:r>
    </w:p>
    <w:p w14:paraId="21BE04FD"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（三）实施侧袋机制期间的收益分配</w:t>
      </w:r>
    </w:p>
    <w:p w14:paraId="11D20F71"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本基金实施侧袋机制的，侧袋账户不进行收益分配，详见招募说明书的规定。</w:t>
      </w:r>
    </w:p>
    <w:p w14:paraId="42A71800" w14:textId="77777777" w:rsidR="00353BD1" w:rsidRDefault="00353BD1">
      <w:pPr>
        <w:adjustRightInd w:val="0"/>
        <w:snapToGrid w:val="0"/>
        <w:spacing w:line="360" w:lineRule="auto"/>
        <w:rPr>
          <w:rFonts w:ascii="宋体" w:hAnsi="宋体" w:cs="Arial"/>
          <w:sz w:val="24"/>
        </w:rPr>
      </w:pPr>
    </w:p>
    <w:p w14:paraId="1F508973" w14:textId="77777777" w:rsidR="00353BD1" w:rsidRDefault="00064D22">
      <w:pPr>
        <w:pStyle w:val="2"/>
        <w:spacing w:line="360" w:lineRule="auto"/>
        <w:jc w:val="center"/>
        <w:rPr>
          <w:rFonts w:ascii="宋体" w:eastAsia="宋体" w:hAnsi="宋体"/>
          <w:sz w:val="30"/>
        </w:rPr>
      </w:pPr>
      <w:bookmarkStart w:id="98" w:name="_Toc124325894"/>
      <w:r>
        <w:rPr>
          <w:rFonts w:ascii="宋体" w:eastAsia="宋体" w:hAnsi="宋体" w:hint="eastAsia"/>
          <w:sz w:val="30"/>
        </w:rPr>
        <w:t>十、基金信息披露</w:t>
      </w:r>
      <w:bookmarkEnd w:id="98"/>
    </w:p>
    <w:p w14:paraId="6FB5C542"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（一）保密义务</w:t>
      </w:r>
    </w:p>
    <w:p w14:paraId="2B5D75E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B81F62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1.非因基金管理人和基金托管人的原因导致保密信息被披露、泄露或公开；</w:t>
      </w:r>
    </w:p>
    <w:p w14:paraId="03CD86C6" w14:textId="165EA00B"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2.基金管理人和基金托管人为遵守和服从法院判决或裁定、仲裁裁决或中国证监会等监管机构的命令、决定所做出的信息披露或公开；</w:t>
      </w:r>
    </w:p>
    <w:p w14:paraId="7EB8016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因审计、法律等专业服务向外部专业顾问提供信息。</w:t>
      </w:r>
    </w:p>
    <w:p w14:paraId="741B352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（二）信息披露的内容</w:t>
      </w:r>
    </w:p>
    <w:p w14:paraId="52D2AD2C" w14:textId="5EE83241" w:rsidR="00353BD1" w:rsidRDefault="00064D22">
      <w:pPr>
        <w:spacing w:line="360" w:lineRule="auto"/>
        <w:ind w:firstLineChars="200" w:firstLine="480"/>
        <w:rPr>
          <w:rFonts w:ascii="宋体" w:hAnsi="宋体" w:cs="Arial"/>
          <w:sz w:val="24"/>
        </w:rPr>
      </w:pPr>
      <w:r>
        <w:rPr>
          <w:rFonts w:ascii="宋体"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清算报告、</w:t>
      </w:r>
      <w:r>
        <w:rPr>
          <w:rFonts w:asciiTheme="minorEastAsia" w:hAnsiTheme="minorEastAsia" w:cs="Arial" w:hint="eastAsia"/>
          <w:sz w:val="24"/>
        </w:rPr>
        <w:t>投资资产支持证券的信息披露、投资股指期货相关公告、投资国债期货相关公告、投资股票期权相关公告、投资港股通标的股票的相关公告、清算报告、实施侧袋机制期间的信息披露</w:t>
      </w:r>
      <w:r>
        <w:rPr>
          <w:rFonts w:ascii="宋体" w:hAnsi="宋体" w:cs="Arial" w:hint="eastAsia"/>
          <w:sz w:val="24"/>
        </w:rPr>
        <w:t>以及中国证监会规定的其他信息。基金年度报告中的财务会计报告需经符合《证券法》规定的会计师事务所审计后，方可披露。</w:t>
      </w:r>
    </w:p>
    <w:p w14:paraId="7B05313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（三）基金托管人和基金管理人在信息披露中的职责和信息披露程序</w:t>
      </w:r>
    </w:p>
    <w:p w14:paraId="113DF7B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1.职责</w:t>
      </w:r>
    </w:p>
    <w:p w14:paraId="11547D7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w:t>
      </w:r>
      <w:r>
        <w:rPr>
          <w:rFonts w:ascii="宋体" w:hAnsi="宋体" w:cs="Arial" w:hint="eastAsia"/>
          <w:sz w:val="24"/>
        </w:rPr>
        <w:lastRenderedPageBreak/>
        <w:t>金托管人应当按照相关法律法规和《基金合同》的约定，对于上一款规定的应由基金托管人复核的事项进行复核，基金托管人复核无误后，由基金管理人予以公布。</w:t>
      </w:r>
    </w:p>
    <w:p w14:paraId="715D5C1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25A220B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57CCED6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6BBC971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3CFCD47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4A7009B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(2)基金投资所涉及的证券交易市场遇法定节假日或因其他原因暂停营业时；</w:t>
      </w:r>
    </w:p>
    <w:p w14:paraId="473075B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(3)出现基金管理人认为属于会导致基金管理人不能出售或评估基金资产的紧急事故的任何情况；</w:t>
      </w:r>
    </w:p>
    <w:p w14:paraId="2920999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(4)法律法规、《基金合同》或中国证监会规定的情况。</w:t>
      </w:r>
    </w:p>
    <w:p w14:paraId="62B1F55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2.程序</w:t>
      </w:r>
    </w:p>
    <w:p w14:paraId="601E44F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48148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3.信息文本的存放</w:t>
      </w:r>
    </w:p>
    <w:p w14:paraId="5C47D78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依法必须披露的信息发布后，基金管理人、基金托管人应当按照相关法律法规规定将信息置备于公司住所，供社会公众查阅、复制。</w:t>
      </w:r>
    </w:p>
    <w:p w14:paraId="4B2546F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（四）实施侧袋机制期间的信息披露</w:t>
      </w:r>
    </w:p>
    <w:p w14:paraId="7021410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本基金实施侧袋机制的，相关信息披露义务人应当根据法律法规、基金合同和招募说明书的规定进行信息披露，详见招募说明书的规定。</w:t>
      </w:r>
    </w:p>
    <w:p w14:paraId="46C8CA0A" w14:textId="77777777" w:rsidR="00353BD1" w:rsidRDefault="00064D22">
      <w:pPr>
        <w:pStyle w:val="a0"/>
        <w:spacing w:line="360" w:lineRule="auto"/>
        <w:ind w:firstLine="480"/>
        <w:rPr>
          <w:rFonts w:ascii="宋体" w:hAnsi="宋体" w:cs="Arial"/>
          <w:sz w:val="24"/>
        </w:rPr>
      </w:pPr>
      <w:r>
        <w:rPr>
          <w:rFonts w:ascii="宋体" w:hAnsi="宋体" w:cs="Arial" w:hint="eastAsia"/>
          <w:sz w:val="24"/>
        </w:rPr>
        <w:t>（五）法律法规或监管部门对适用于本基金的信息披露另有规定的，从其规定。如规定发生变化的，从其最新规定。</w:t>
      </w:r>
    </w:p>
    <w:p w14:paraId="1FFBBE79" w14:textId="77777777" w:rsidR="00353BD1" w:rsidRDefault="00353BD1">
      <w:pPr>
        <w:pStyle w:val="a0"/>
        <w:spacing w:line="360" w:lineRule="auto"/>
        <w:ind w:firstLineChars="0" w:firstLine="0"/>
        <w:rPr>
          <w:rFonts w:ascii="宋体" w:hAnsi="宋体" w:cs="Arial"/>
          <w:sz w:val="24"/>
        </w:rPr>
      </w:pPr>
    </w:p>
    <w:p w14:paraId="17C6DD75" w14:textId="77777777" w:rsidR="00353BD1" w:rsidRDefault="00064D22">
      <w:pPr>
        <w:pStyle w:val="2"/>
        <w:spacing w:line="360" w:lineRule="auto"/>
        <w:jc w:val="center"/>
        <w:rPr>
          <w:rFonts w:ascii="宋体" w:eastAsia="宋体" w:hAnsi="宋体"/>
          <w:sz w:val="30"/>
        </w:rPr>
      </w:pPr>
      <w:bookmarkStart w:id="99" w:name="_Toc124325895"/>
      <w:r>
        <w:rPr>
          <w:rFonts w:ascii="宋体" w:eastAsia="宋体" w:hAnsi="宋体" w:hint="eastAsia"/>
          <w:sz w:val="30"/>
        </w:rPr>
        <w:lastRenderedPageBreak/>
        <w:t>十一、基金费用</w:t>
      </w:r>
      <w:bookmarkEnd w:id="99"/>
    </w:p>
    <w:p w14:paraId="432A9F81" w14:textId="0CDCD0F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（一）基金管理费的计提方法</w:t>
      </w:r>
    </w:p>
    <w:p w14:paraId="5C06C2F4" w14:textId="77777777" w:rsidR="009D1ECE" w:rsidRDefault="009D1ECE" w:rsidP="009D1ECE">
      <w:pPr>
        <w:spacing w:line="360" w:lineRule="auto"/>
        <w:ind w:firstLineChars="200" w:firstLine="480"/>
        <w:rPr>
          <w:bCs/>
          <w:sz w:val="24"/>
        </w:rPr>
      </w:pPr>
      <w:r>
        <w:rPr>
          <w:rFonts w:hint="eastAsia"/>
          <w:sz w:val="24"/>
        </w:rPr>
        <w:t>本基金</w:t>
      </w:r>
      <w:r>
        <w:rPr>
          <w:rFonts w:hint="eastAsia"/>
          <w:bCs/>
          <w:sz w:val="24"/>
        </w:rPr>
        <w:t>根据每笔基金份额的持有期限与持有期间年化收益率，在赎回</w:t>
      </w:r>
      <w:bookmarkStart w:id="100" w:name="_Hlk195865221"/>
      <w:r>
        <w:rPr>
          <w:rFonts w:hint="eastAsia"/>
          <w:bCs/>
          <w:sz w:val="24"/>
        </w:rPr>
        <w:t>、转出</w:t>
      </w:r>
      <w:bookmarkEnd w:id="100"/>
      <w:r>
        <w:rPr>
          <w:rFonts w:hint="eastAsia"/>
          <w:bCs/>
          <w:sz w:val="24"/>
        </w:rPr>
        <w:t>基金份额</w:t>
      </w:r>
      <w:bookmarkStart w:id="101" w:name="_Hlk195865226"/>
      <w:r>
        <w:rPr>
          <w:rFonts w:hint="eastAsia"/>
          <w:bCs/>
          <w:sz w:val="24"/>
        </w:rPr>
        <w:t>或基金合同终止的情形发生</w:t>
      </w:r>
      <w:bookmarkEnd w:id="101"/>
      <w:r>
        <w:rPr>
          <w:rFonts w:hint="eastAsia"/>
          <w:bCs/>
          <w:sz w:val="24"/>
        </w:rPr>
        <w:t>时确定该笔基金份额对应</w:t>
      </w:r>
      <w:r>
        <w:rPr>
          <w:rFonts w:hint="eastAsia"/>
          <w:sz w:val="24"/>
        </w:rPr>
        <w:t>的管理费</w:t>
      </w:r>
      <w:r>
        <w:rPr>
          <w:rFonts w:hint="eastAsia"/>
          <w:bCs/>
          <w:sz w:val="24"/>
        </w:rPr>
        <w:t>。当投资者赎回</w:t>
      </w:r>
      <w:bookmarkStart w:id="102" w:name="_Hlk195865234"/>
      <w:r>
        <w:rPr>
          <w:rFonts w:hint="eastAsia"/>
          <w:bCs/>
          <w:sz w:val="24"/>
        </w:rPr>
        <w:t>、转出基金份额或基金合同终止的情形发生</w:t>
      </w:r>
      <w:bookmarkEnd w:id="102"/>
      <w:r>
        <w:rPr>
          <w:rFonts w:hint="eastAsia"/>
          <w:bCs/>
          <w:sz w:val="24"/>
        </w:rPr>
        <w:t>时，持有期限不足一年（即</w:t>
      </w:r>
      <w:r>
        <w:rPr>
          <w:rFonts w:hint="eastAsia"/>
          <w:bCs/>
          <w:sz w:val="24"/>
        </w:rPr>
        <w:t>365</w:t>
      </w:r>
      <w:r>
        <w:rPr>
          <w:rFonts w:hint="eastAsia"/>
          <w:bCs/>
          <w:sz w:val="24"/>
        </w:rPr>
        <w:t>天，下同），则按</w:t>
      </w:r>
      <w:r>
        <w:rPr>
          <w:rFonts w:hint="eastAsia"/>
          <w:bCs/>
          <w:sz w:val="24"/>
        </w:rPr>
        <w:t>1.20%</w:t>
      </w:r>
      <w:r>
        <w:rPr>
          <w:rFonts w:hint="eastAsia"/>
          <w:bCs/>
          <w:sz w:val="24"/>
        </w:rPr>
        <w:t>年费率收取管理费；持有期限达到一年及以上，则根据持有期间年化收益率分为以下三种情况，分别确定对应的管理费率档位：</w:t>
      </w:r>
    </w:p>
    <w:p w14:paraId="0A71E888" w14:textId="77777777" w:rsidR="009D1ECE" w:rsidRDefault="009D1ECE" w:rsidP="009D1ECE">
      <w:pPr>
        <w:spacing w:line="360" w:lineRule="auto"/>
        <w:ind w:firstLineChars="200" w:firstLine="480"/>
        <w:rPr>
          <w:bCs/>
          <w:sz w:val="24"/>
        </w:rPr>
      </w:pPr>
      <w:r>
        <w:rPr>
          <w:rFonts w:hint="eastAsia"/>
          <w:bCs/>
          <w:sz w:val="24"/>
        </w:rPr>
        <w:t>若持有期间相对业绩比较基准的年化超额收益率在</w:t>
      </w:r>
      <w:r>
        <w:rPr>
          <w:rFonts w:hint="eastAsia"/>
          <w:bCs/>
          <w:sz w:val="24"/>
        </w:rPr>
        <w:t>-3%</w:t>
      </w:r>
      <w:r>
        <w:rPr>
          <w:rFonts w:hint="eastAsia"/>
          <w:bCs/>
          <w:sz w:val="24"/>
        </w:rPr>
        <w:t>及以下，按</w:t>
      </w:r>
      <w:r>
        <w:rPr>
          <w:rFonts w:hint="eastAsia"/>
          <w:bCs/>
          <w:sz w:val="24"/>
        </w:rPr>
        <w:t>0.60%</w:t>
      </w:r>
      <w:r>
        <w:rPr>
          <w:rFonts w:hint="eastAsia"/>
          <w:bCs/>
          <w:sz w:val="24"/>
        </w:rPr>
        <w:t>年费率确认管理费；若持有期间的年化超额收益率（扣除超额管理费后）超过</w:t>
      </w:r>
      <w:r>
        <w:rPr>
          <w:rFonts w:hint="eastAsia"/>
          <w:bCs/>
          <w:sz w:val="24"/>
        </w:rPr>
        <w:t>6%</w:t>
      </w:r>
      <w:r>
        <w:rPr>
          <w:rFonts w:hint="eastAsia"/>
          <w:bCs/>
          <w:sz w:val="24"/>
        </w:rPr>
        <w:t>且持有收益率（扣除超额管理费后）为正，按</w:t>
      </w:r>
      <w:r>
        <w:rPr>
          <w:rFonts w:hint="eastAsia"/>
          <w:bCs/>
          <w:sz w:val="24"/>
        </w:rPr>
        <w:t>1.50%</w:t>
      </w:r>
      <w:r>
        <w:rPr>
          <w:rFonts w:hint="eastAsia"/>
          <w:bCs/>
          <w:sz w:val="24"/>
        </w:rPr>
        <w:t>年费率确认管理费；其他情形按</w:t>
      </w:r>
      <w:r>
        <w:rPr>
          <w:rFonts w:hint="eastAsia"/>
          <w:bCs/>
          <w:sz w:val="24"/>
        </w:rPr>
        <w:t>1.20%</w:t>
      </w:r>
      <w:r>
        <w:rPr>
          <w:rFonts w:hint="eastAsia"/>
          <w:bCs/>
          <w:sz w:val="24"/>
        </w:rPr>
        <w:t>年费率确认管理费。</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31"/>
      </w:tblGrid>
      <w:tr w:rsidR="009D1ECE" w14:paraId="4C60B4F4" w14:textId="77777777" w:rsidTr="00711497">
        <w:trPr>
          <w:trHeight w:val="510"/>
          <w:jc w:val="center"/>
        </w:trPr>
        <w:tc>
          <w:tcPr>
            <w:tcW w:w="3827" w:type="dxa"/>
            <w:vAlign w:val="center"/>
          </w:tcPr>
          <w:p w14:paraId="4EF24D5F" w14:textId="77777777" w:rsidR="009D1ECE" w:rsidRDefault="009D1ECE" w:rsidP="00711497">
            <w:pPr>
              <w:spacing w:line="276" w:lineRule="auto"/>
              <w:jc w:val="center"/>
              <w:rPr>
                <w:b/>
                <w:sz w:val="22"/>
              </w:rPr>
            </w:pPr>
            <w:r>
              <w:rPr>
                <w:rFonts w:hint="eastAsia"/>
                <w:b/>
                <w:sz w:val="22"/>
              </w:rPr>
              <w:t>持有期间年化收益率（</w:t>
            </w:r>
            <w:r>
              <w:rPr>
                <w:rFonts w:hint="eastAsia"/>
                <w:b/>
                <w:sz w:val="22"/>
              </w:rPr>
              <w:t>R</w:t>
            </w:r>
            <w:r>
              <w:rPr>
                <w:rFonts w:hint="eastAsia"/>
                <w:b/>
                <w:sz w:val="22"/>
              </w:rPr>
              <w:t>）</w:t>
            </w:r>
          </w:p>
        </w:tc>
        <w:tc>
          <w:tcPr>
            <w:tcW w:w="2831" w:type="dxa"/>
            <w:vAlign w:val="center"/>
          </w:tcPr>
          <w:p w14:paraId="408F168B" w14:textId="77777777" w:rsidR="009D1ECE" w:rsidRDefault="009D1ECE" w:rsidP="00711497">
            <w:pPr>
              <w:spacing w:line="276" w:lineRule="auto"/>
              <w:jc w:val="center"/>
              <w:rPr>
                <w:b/>
                <w:sz w:val="22"/>
              </w:rPr>
            </w:pPr>
            <w:r>
              <w:rPr>
                <w:rFonts w:hint="eastAsia"/>
                <w:b/>
                <w:sz w:val="22"/>
              </w:rPr>
              <w:t>管理费率（年费率）</w:t>
            </w:r>
          </w:p>
        </w:tc>
      </w:tr>
      <w:tr w:rsidR="009D1ECE" w14:paraId="68DDD099" w14:textId="77777777" w:rsidTr="00711497">
        <w:trPr>
          <w:trHeight w:val="510"/>
          <w:jc w:val="center"/>
        </w:trPr>
        <w:tc>
          <w:tcPr>
            <w:tcW w:w="3827" w:type="dxa"/>
            <w:vAlign w:val="center"/>
          </w:tcPr>
          <w:p w14:paraId="350AC20B" w14:textId="77777777" w:rsidR="009D1ECE" w:rsidRDefault="009D1ECE" w:rsidP="00711497">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-3%</w:t>
            </w:r>
          </w:p>
        </w:tc>
        <w:tc>
          <w:tcPr>
            <w:tcW w:w="2831" w:type="dxa"/>
            <w:vAlign w:val="center"/>
          </w:tcPr>
          <w:p w14:paraId="78C2EBD2" w14:textId="77777777" w:rsidR="009D1ECE" w:rsidRDefault="009D1ECE" w:rsidP="00711497">
            <w:pPr>
              <w:spacing w:line="276" w:lineRule="auto"/>
              <w:jc w:val="center"/>
              <w:rPr>
                <w:rFonts w:ascii="Cambria" w:eastAsia="仿宋" w:hAnsi="Cambria"/>
                <w:sz w:val="22"/>
              </w:rPr>
            </w:pPr>
            <w:r>
              <w:rPr>
                <w:rFonts w:ascii="Cambria" w:eastAsia="仿宋" w:hAnsi="Cambria"/>
                <w:sz w:val="22"/>
              </w:rPr>
              <w:t>0.60%/</w:t>
            </w:r>
            <w:r>
              <w:rPr>
                <w:rFonts w:ascii="宋体" w:hAnsi="宋体"/>
                <w:bCs/>
                <w:sz w:val="22"/>
              </w:rPr>
              <w:t>年</w:t>
            </w:r>
          </w:p>
        </w:tc>
      </w:tr>
      <w:tr w:rsidR="009D1ECE" w14:paraId="7690784B" w14:textId="77777777" w:rsidTr="00711497">
        <w:trPr>
          <w:trHeight w:val="510"/>
          <w:jc w:val="center"/>
        </w:trPr>
        <w:tc>
          <w:tcPr>
            <w:tcW w:w="3827" w:type="dxa"/>
            <w:vAlign w:val="center"/>
          </w:tcPr>
          <w:p w14:paraId="20985A6C" w14:textId="77777777" w:rsidR="009D1ECE" w:rsidRDefault="009D1ECE" w:rsidP="00711497">
            <w:pPr>
              <w:spacing w:line="276" w:lineRule="auto"/>
              <w:jc w:val="center"/>
              <w:rPr>
                <w:bCs/>
                <w:sz w:val="22"/>
              </w:rPr>
            </w:pPr>
            <w:r>
              <w:rPr>
                <w:bCs/>
                <w:sz w:val="22"/>
              </w:rPr>
              <w:t>其他情形</w:t>
            </w:r>
          </w:p>
        </w:tc>
        <w:tc>
          <w:tcPr>
            <w:tcW w:w="2831" w:type="dxa"/>
            <w:vAlign w:val="center"/>
          </w:tcPr>
          <w:p w14:paraId="0FD196BD" w14:textId="77777777" w:rsidR="009D1ECE" w:rsidRDefault="009D1ECE" w:rsidP="00711497">
            <w:pPr>
              <w:spacing w:line="276" w:lineRule="auto"/>
              <w:jc w:val="center"/>
              <w:rPr>
                <w:rFonts w:ascii="Cambria" w:eastAsia="仿宋" w:hAnsi="Cambria"/>
                <w:sz w:val="22"/>
              </w:rPr>
            </w:pPr>
            <w:r>
              <w:rPr>
                <w:rFonts w:ascii="Cambria" w:eastAsia="仿宋" w:hAnsi="Cambria"/>
                <w:sz w:val="22"/>
              </w:rPr>
              <w:t>1.20%/</w:t>
            </w:r>
            <w:r>
              <w:rPr>
                <w:rFonts w:ascii="宋体" w:hAnsi="宋体"/>
                <w:bCs/>
                <w:sz w:val="22"/>
              </w:rPr>
              <w:t>年</w:t>
            </w:r>
          </w:p>
        </w:tc>
      </w:tr>
      <w:tr w:rsidR="009D1ECE" w14:paraId="11FAA840" w14:textId="77777777" w:rsidTr="00711497">
        <w:trPr>
          <w:trHeight w:val="510"/>
          <w:jc w:val="center"/>
        </w:trPr>
        <w:tc>
          <w:tcPr>
            <w:tcW w:w="3827" w:type="dxa"/>
            <w:vAlign w:val="center"/>
          </w:tcPr>
          <w:p w14:paraId="1F63D8D3" w14:textId="77777777" w:rsidR="009D1ECE" w:rsidRDefault="009D1ECE" w:rsidP="00711497">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+6%</w:t>
            </w:r>
            <w:r>
              <w:rPr>
                <w:bCs/>
                <w:sz w:val="22"/>
              </w:rPr>
              <w:t>，</w:t>
            </w:r>
            <w:r>
              <w:rPr>
                <w:bCs/>
                <w:sz w:val="22"/>
              </w:rPr>
              <w:t>R</w:t>
            </w:r>
            <w:r>
              <w:rPr>
                <w:rFonts w:ascii="仿宋" w:eastAsia="仿宋" w:hAnsi="仿宋"/>
                <w:bCs/>
                <w:sz w:val="22"/>
              </w:rPr>
              <w:t>＞</w:t>
            </w:r>
            <w:r>
              <w:rPr>
                <w:bCs/>
                <w:sz w:val="22"/>
              </w:rPr>
              <w:t>0</w:t>
            </w:r>
          </w:p>
        </w:tc>
        <w:tc>
          <w:tcPr>
            <w:tcW w:w="2831" w:type="dxa"/>
            <w:vAlign w:val="center"/>
          </w:tcPr>
          <w:p w14:paraId="5481C8A1" w14:textId="77777777" w:rsidR="009D1ECE" w:rsidRDefault="009D1ECE" w:rsidP="00711497">
            <w:pPr>
              <w:spacing w:line="276" w:lineRule="auto"/>
              <w:jc w:val="center"/>
              <w:rPr>
                <w:rFonts w:ascii="Cambria" w:eastAsia="仿宋" w:hAnsi="Cambria"/>
                <w:sz w:val="22"/>
              </w:rPr>
            </w:pPr>
            <w:r>
              <w:rPr>
                <w:rFonts w:ascii="Cambria" w:eastAsia="仿宋" w:hAnsi="Cambria"/>
                <w:sz w:val="22"/>
              </w:rPr>
              <w:t>1.50%/</w:t>
            </w:r>
            <w:r>
              <w:rPr>
                <w:rFonts w:ascii="宋体" w:hAnsi="宋体"/>
                <w:bCs/>
                <w:sz w:val="22"/>
              </w:rPr>
              <w:t>年</w:t>
            </w:r>
          </w:p>
        </w:tc>
      </w:tr>
    </w:tbl>
    <w:p w14:paraId="581557F8" w14:textId="77777777" w:rsidR="009D1ECE" w:rsidRDefault="009D1ECE" w:rsidP="009D1ECE">
      <w:pPr>
        <w:spacing w:line="360" w:lineRule="auto"/>
        <w:rPr>
          <w:bCs/>
          <w:szCs w:val="21"/>
        </w:rPr>
      </w:pPr>
      <w:r>
        <w:rPr>
          <w:rFonts w:hint="eastAsia"/>
          <w:bCs/>
          <w:szCs w:val="21"/>
        </w:rPr>
        <w:t>注：①</w:t>
      </w:r>
      <w:r>
        <w:rPr>
          <w:bCs/>
          <w:szCs w:val="21"/>
        </w:rPr>
        <w:t>R</w:t>
      </w:r>
      <w:r>
        <w:rPr>
          <w:rFonts w:hint="eastAsia"/>
          <w:bCs/>
          <w:szCs w:val="21"/>
        </w:rPr>
        <w:t>为该笔基金份额的年化收益率，</w:t>
      </w:r>
      <w:r>
        <w:rPr>
          <w:bCs/>
          <w:szCs w:val="21"/>
        </w:rPr>
        <w:t>R</w:t>
      </w:r>
      <w:r>
        <w:rPr>
          <w:bCs/>
          <w:szCs w:val="21"/>
          <w:vertAlign w:val="subscript"/>
        </w:rPr>
        <w:t>b</w:t>
      </w:r>
      <w:r>
        <w:rPr>
          <w:rFonts w:hint="eastAsia"/>
          <w:bCs/>
          <w:szCs w:val="21"/>
        </w:rPr>
        <w:t>为本基金业绩比较基准同期年化收益率。</w:t>
      </w:r>
    </w:p>
    <w:p w14:paraId="45DCB230" w14:textId="77777777" w:rsidR="009D1ECE" w:rsidRDefault="009D1ECE" w:rsidP="009D1ECE">
      <w:pPr>
        <w:spacing w:line="360" w:lineRule="auto"/>
        <w:rPr>
          <w:bCs/>
          <w:szCs w:val="21"/>
        </w:rPr>
      </w:pPr>
      <w:r>
        <w:rPr>
          <w:rFonts w:hint="eastAsia"/>
          <w:bCs/>
          <w:szCs w:val="21"/>
        </w:rPr>
        <w:t>②特别的，当持有期限达到一年及以上，</w:t>
      </w:r>
      <w:r>
        <w:rPr>
          <w:bCs/>
          <w:szCs w:val="21"/>
        </w:rPr>
        <w:t>R</w:t>
      </w:r>
      <w:r>
        <w:rPr>
          <w:rFonts w:hint="eastAsia"/>
          <w:bCs/>
          <w:szCs w:val="21"/>
        </w:rPr>
        <w:t>＞</w:t>
      </w:r>
      <w:r>
        <w:rPr>
          <w:bCs/>
          <w:szCs w:val="21"/>
        </w:rPr>
        <w:t>R</w:t>
      </w:r>
      <w:r>
        <w:rPr>
          <w:bCs/>
          <w:szCs w:val="21"/>
          <w:vertAlign w:val="subscript"/>
        </w:rPr>
        <w:t>b</w:t>
      </w:r>
      <w:r>
        <w:rPr>
          <w:bCs/>
          <w:szCs w:val="21"/>
        </w:rPr>
        <w:t>+6%</w:t>
      </w:r>
      <w:r>
        <w:rPr>
          <w:rFonts w:hint="eastAsia"/>
          <w:bCs/>
          <w:szCs w:val="21"/>
        </w:rPr>
        <w:t>且</w:t>
      </w:r>
      <w:r>
        <w:rPr>
          <w:bCs/>
          <w:szCs w:val="21"/>
        </w:rPr>
        <w:t>R</w:t>
      </w:r>
      <w:r>
        <w:rPr>
          <w:rFonts w:hint="eastAsia"/>
          <w:bCs/>
          <w:szCs w:val="21"/>
        </w:rPr>
        <w:t>＞</w:t>
      </w:r>
      <w:r>
        <w:rPr>
          <w:bCs/>
          <w:szCs w:val="21"/>
        </w:rPr>
        <w:t>0</w:t>
      </w:r>
      <w:r>
        <w:rPr>
          <w:rFonts w:hint="eastAsia"/>
          <w:bCs/>
          <w:szCs w:val="21"/>
        </w:rPr>
        <w:t>的情形下，若拟扣除超额管理费后的年化收益率小于等于</w:t>
      </w:r>
      <w:r>
        <w:rPr>
          <w:bCs/>
          <w:szCs w:val="21"/>
        </w:rPr>
        <w:t>R</w:t>
      </w:r>
      <w:r>
        <w:rPr>
          <w:bCs/>
          <w:szCs w:val="21"/>
          <w:vertAlign w:val="subscript"/>
        </w:rPr>
        <w:t>b</w:t>
      </w:r>
      <w:r>
        <w:rPr>
          <w:bCs/>
          <w:szCs w:val="21"/>
        </w:rPr>
        <w:t>+6%</w:t>
      </w:r>
      <w:r>
        <w:rPr>
          <w:rFonts w:hint="eastAsia"/>
          <w:bCs/>
          <w:szCs w:val="21"/>
        </w:rPr>
        <w:t>，或小于等于</w:t>
      </w:r>
      <w:r>
        <w:rPr>
          <w:bCs/>
          <w:szCs w:val="21"/>
        </w:rPr>
        <w:t>0</w:t>
      </w:r>
      <w:r>
        <w:rPr>
          <w:rFonts w:hint="eastAsia"/>
          <w:bCs/>
          <w:szCs w:val="21"/>
        </w:rPr>
        <w:t>时，仍按</w:t>
      </w:r>
      <w:r>
        <w:rPr>
          <w:bCs/>
          <w:szCs w:val="21"/>
        </w:rPr>
        <w:t>1.20%</w:t>
      </w:r>
      <w:r>
        <w:rPr>
          <w:rFonts w:hint="eastAsia"/>
          <w:bCs/>
          <w:szCs w:val="21"/>
        </w:rPr>
        <w:t>年费率收取该笔基金份额的管理费，以使得该笔基金份额在扣除超额管理费后的年化收益率仍需满足本基金收取超额管理费的标准。</w:t>
      </w:r>
    </w:p>
    <w:p w14:paraId="3EACC742" w14:textId="77777777" w:rsidR="009D1ECE" w:rsidRDefault="009D1ECE" w:rsidP="009D1ECE">
      <w:pPr>
        <w:spacing w:line="360" w:lineRule="auto"/>
        <w:rPr>
          <w:bCs/>
          <w:sz w:val="24"/>
        </w:rPr>
      </w:pPr>
    </w:p>
    <w:p w14:paraId="0565176E" w14:textId="77777777" w:rsidR="009D1ECE" w:rsidRDefault="009D1ECE" w:rsidP="009D1ECE">
      <w:pPr>
        <w:spacing w:line="360" w:lineRule="auto"/>
        <w:ind w:firstLineChars="200" w:firstLine="480"/>
        <w:rPr>
          <w:bCs/>
          <w:sz w:val="24"/>
        </w:rPr>
      </w:pPr>
      <w:r>
        <w:rPr>
          <w:rFonts w:hint="eastAsia"/>
          <w:bCs/>
          <w:sz w:val="24"/>
        </w:rPr>
        <w:t>具体而言，本基金的管理费包含固定管理费、或有管理费和超额管理费，按以下方式计算和确认。</w:t>
      </w:r>
    </w:p>
    <w:p w14:paraId="12409262"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（1）固定管理费</w:t>
      </w:r>
    </w:p>
    <w:p w14:paraId="523C6EA6"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固定管理费按前一日基金资产净值的0.60%年费率每日计提。固定管理费的计算方法如下：</w:t>
      </w:r>
    </w:p>
    <w:p w14:paraId="736DC738" w14:textId="77777777" w:rsidR="009D1ECE" w:rsidRDefault="009D1ECE" w:rsidP="009D1ECE">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1</w:t>
      </w:r>
      <w:r>
        <w:rPr>
          <w:rFonts w:ascii="宋体" w:hAnsi="宋体" w:hint="eastAsia"/>
          <w:sz w:val="24"/>
        </w:rPr>
        <w:t>＝E×0.60%÷当年天数</w:t>
      </w:r>
    </w:p>
    <w:p w14:paraId="5580A548" w14:textId="77777777" w:rsidR="009D1ECE" w:rsidRDefault="009D1ECE" w:rsidP="009D1ECE">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1</w:t>
      </w:r>
      <w:r>
        <w:rPr>
          <w:rFonts w:ascii="宋体" w:hAnsi="宋体"/>
          <w:sz w:val="24"/>
        </w:rPr>
        <w:t>为每日应计提的固定管理费</w:t>
      </w:r>
    </w:p>
    <w:p w14:paraId="43519166"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lastRenderedPageBreak/>
        <w:t>E为前一日的基金资产净值</w:t>
      </w:r>
    </w:p>
    <w:p w14:paraId="2B43D285"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固定管理费每日计提，逐日累计至每个月月末，按月支付。</w:t>
      </w:r>
      <w:r>
        <w:rPr>
          <w:rFonts w:hint="eastAsia"/>
          <w:bCs/>
          <w:sz w:val="24"/>
        </w:rPr>
        <w:t>经基金管理人与基金托管人双方核对无误后，</w:t>
      </w:r>
      <w:r>
        <w:rPr>
          <w:bCs/>
          <w:sz w:val="24"/>
        </w:rPr>
        <w:t>基金托管人</w:t>
      </w:r>
      <w:r>
        <w:rPr>
          <w:rFonts w:hint="eastAsia"/>
          <w:bCs/>
          <w:sz w:val="24"/>
        </w:rPr>
        <w:t>按照</w:t>
      </w:r>
      <w:r>
        <w:rPr>
          <w:rFonts w:ascii="宋体" w:hAnsi="宋体" w:hint="eastAsia"/>
          <w:sz w:val="24"/>
        </w:rPr>
        <w:t>与基金管理人协商一致的方式在次月初五个工作日内、按照指定的账户路径进行资金支付。若遇法定节假日、休息日等，支付日期顺延。费用扣划后，基金管理人应进行核对，如发现数据不符，及时联系基金托管人协商解决。</w:t>
      </w:r>
    </w:p>
    <w:p w14:paraId="63EFF156"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（2）或有管理费</w:t>
      </w:r>
      <w:r>
        <w:rPr>
          <w:rFonts w:ascii="宋体" w:hAnsi="宋体"/>
          <w:sz w:val="24"/>
        </w:rPr>
        <w:t>和超额管理费</w:t>
      </w:r>
    </w:p>
    <w:p w14:paraId="070A52DA"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或有管理费按前一日基金资产净值的0.60%年费率每日计提。</w:t>
      </w:r>
      <w:r>
        <w:rPr>
          <w:rFonts w:hint="eastAsia"/>
          <w:bCs/>
          <w:sz w:val="24"/>
        </w:rPr>
        <w:t>或有管理费的</w:t>
      </w:r>
      <w:r>
        <w:rPr>
          <w:rFonts w:ascii="宋体" w:hAnsi="宋体" w:hint="eastAsia"/>
          <w:sz w:val="24"/>
        </w:rPr>
        <w:t>计算方法如下：</w:t>
      </w:r>
    </w:p>
    <w:p w14:paraId="32192A2C" w14:textId="77777777" w:rsidR="009D1ECE" w:rsidRDefault="009D1ECE" w:rsidP="009D1ECE">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2</w:t>
      </w:r>
      <w:r>
        <w:rPr>
          <w:rFonts w:ascii="宋体" w:hAnsi="宋体" w:hint="eastAsia"/>
          <w:sz w:val="24"/>
        </w:rPr>
        <w:t>＝E×0.60%÷当年天数</w:t>
      </w:r>
    </w:p>
    <w:p w14:paraId="0A739D93" w14:textId="77777777" w:rsidR="009D1ECE" w:rsidRDefault="009D1ECE" w:rsidP="009D1ECE">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2</w:t>
      </w:r>
      <w:r>
        <w:rPr>
          <w:rFonts w:ascii="宋体" w:hAnsi="宋体" w:hint="eastAsia"/>
          <w:sz w:val="24"/>
        </w:rPr>
        <w:t>为每日应计提的或有管理费</w:t>
      </w:r>
    </w:p>
    <w:p w14:paraId="1070BDBD"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502BAB04" w14:textId="77777777" w:rsidR="009D1ECE" w:rsidRDefault="009D1ECE" w:rsidP="009D1ECE">
      <w:pPr>
        <w:spacing w:line="360" w:lineRule="auto"/>
        <w:ind w:firstLineChars="200" w:firstLine="480"/>
        <w:rPr>
          <w:bCs/>
          <w:sz w:val="24"/>
        </w:rPr>
      </w:pPr>
      <w:r>
        <w:rPr>
          <w:rFonts w:hint="eastAsia"/>
          <w:bCs/>
          <w:sz w:val="24"/>
        </w:rPr>
        <w:t>投资者赎回、转出基金份额或基金合同终止的情形发生时，若该笔基金份额持有天数达到或超过</w:t>
      </w:r>
      <w:r>
        <w:rPr>
          <w:rFonts w:hint="eastAsia"/>
          <w:bCs/>
          <w:sz w:val="24"/>
        </w:rPr>
        <w:t>365</w:t>
      </w:r>
      <w:r>
        <w:rPr>
          <w:rFonts w:hint="eastAsia"/>
          <w:bCs/>
          <w:sz w:val="24"/>
        </w:rPr>
        <w:t>天，且该笔基金份额的持有收益率</w:t>
      </w:r>
      <w:r>
        <w:rPr>
          <w:rFonts w:hint="eastAsia"/>
          <w:bCs/>
          <w:sz w:val="24"/>
        </w:rPr>
        <w:t>R</w:t>
      </w:r>
      <w:r>
        <w:rPr>
          <w:rFonts w:hint="eastAsia"/>
          <w:bCs/>
          <w:sz w:val="24"/>
        </w:rPr>
        <w:t>符合下表“情形一”的收取情形，或有管理费为</w:t>
      </w:r>
      <w:r>
        <w:rPr>
          <w:rFonts w:hint="eastAsia"/>
          <w:bCs/>
          <w:sz w:val="24"/>
        </w:rPr>
        <w:t>0</w:t>
      </w:r>
      <w:r>
        <w:rPr>
          <w:rFonts w:hint="eastAsia"/>
          <w:bCs/>
          <w:sz w:val="24"/>
        </w:rPr>
        <w:t>，则该笔基金份额持有期内计提的或有管理费将全额随赎回款（或清算款）一并返还给投资者；在其他情形下，该笔基金份额持有期内计提的或有管理费应确认为应由管理人收取的管理费。</w:t>
      </w:r>
    </w:p>
    <w:p w14:paraId="364C8A80" w14:textId="77777777" w:rsidR="009D1ECE" w:rsidRDefault="009D1ECE" w:rsidP="009D1ECE">
      <w:pPr>
        <w:spacing w:line="360" w:lineRule="auto"/>
        <w:ind w:firstLineChars="200" w:firstLine="480"/>
        <w:rPr>
          <w:bCs/>
          <w:sz w:val="24"/>
        </w:rPr>
      </w:pPr>
      <w:r>
        <w:rPr>
          <w:rFonts w:hint="eastAsia"/>
          <w:bCs/>
          <w:sz w:val="24"/>
        </w:rPr>
        <w:t>本基金每日预估计算并记录每笔基金份额的超额管理费，基金超额管理费的预估计算方法如下：</w:t>
      </w:r>
    </w:p>
    <w:p w14:paraId="316A265E" w14:textId="77777777" w:rsidR="009D1ECE" w:rsidRDefault="009D1ECE" w:rsidP="009D1ECE">
      <w:pPr>
        <w:spacing w:line="360" w:lineRule="auto"/>
        <w:ind w:firstLineChars="200" w:firstLine="480"/>
        <w:rPr>
          <w:bCs/>
          <w:sz w:val="24"/>
        </w:rPr>
      </w:pPr>
      <w:r>
        <w:rPr>
          <w:rFonts w:hint="eastAsia"/>
          <w:bCs/>
          <w:sz w:val="24"/>
        </w:rPr>
        <w:t>H</w:t>
      </w:r>
      <w:r>
        <w:rPr>
          <w:rFonts w:hint="eastAsia"/>
          <w:bCs/>
          <w:sz w:val="24"/>
          <w:vertAlign w:val="subscript"/>
        </w:rPr>
        <w:t>3</w:t>
      </w:r>
      <w:r>
        <w:rPr>
          <w:rFonts w:hint="eastAsia"/>
          <w:bCs/>
          <w:sz w:val="24"/>
        </w:rPr>
        <w:t>＝</w:t>
      </w:r>
      <w:r>
        <w:rPr>
          <w:rFonts w:hint="eastAsia"/>
          <w:bCs/>
          <w:sz w:val="24"/>
        </w:rPr>
        <w:t>E</w:t>
      </w:r>
      <w:r>
        <w:rPr>
          <w:rFonts w:hint="eastAsia"/>
          <w:bCs/>
          <w:sz w:val="24"/>
        </w:rPr>
        <w:t>×</w:t>
      </w:r>
      <w:r>
        <w:rPr>
          <w:rFonts w:hint="eastAsia"/>
          <w:bCs/>
          <w:sz w:val="24"/>
        </w:rPr>
        <w:t>0.30%</w:t>
      </w:r>
      <w:r>
        <w:rPr>
          <w:rFonts w:hint="eastAsia"/>
          <w:bCs/>
          <w:sz w:val="24"/>
        </w:rPr>
        <w:t>÷当年天数</w:t>
      </w:r>
    </w:p>
    <w:p w14:paraId="504EC422" w14:textId="77777777" w:rsidR="009D1ECE" w:rsidRDefault="009D1ECE" w:rsidP="009D1ECE">
      <w:pPr>
        <w:spacing w:line="360" w:lineRule="auto"/>
        <w:ind w:firstLineChars="200" w:firstLine="480"/>
        <w:rPr>
          <w:bCs/>
          <w:sz w:val="24"/>
        </w:rPr>
      </w:pPr>
      <w:r>
        <w:rPr>
          <w:rFonts w:hint="eastAsia"/>
          <w:bCs/>
          <w:sz w:val="24"/>
        </w:rPr>
        <w:t>H</w:t>
      </w:r>
      <w:r>
        <w:rPr>
          <w:rFonts w:hint="eastAsia"/>
          <w:bCs/>
          <w:sz w:val="24"/>
          <w:vertAlign w:val="subscript"/>
        </w:rPr>
        <w:t>3</w:t>
      </w:r>
      <w:r>
        <w:rPr>
          <w:rFonts w:hint="eastAsia"/>
          <w:bCs/>
          <w:sz w:val="24"/>
        </w:rPr>
        <w:t>为每日预估计算的基金超额管理费</w:t>
      </w:r>
    </w:p>
    <w:p w14:paraId="78C719F9" w14:textId="77777777" w:rsidR="009D1ECE" w:rsidRDefault="009D1ECE" w:rsidP="009D1ECE">
      <w:pPr>
        <w:spacing w:line="360" w:lineRule="auto"/>
        <w:ind w:firstLineChars="200" w:firstLine="480"/>
        <w:rPr>
          <w:sz w:val="24"/>
        </w:rPr>
      </w:pPr>
      <w:r>
        <w:rPr>
          <w:rFonts w:hint="eastAsia"/>
          <w:sz w:val="24"/>
        </w:rPr>
        <w:t>E</w:t>
      </w:r>
      <w:r>
        <w:rPr>
          <w:rFonts w:hint="eastAsia"/>
          <w:sz w:val="24"/>
        </w:rPr>
        <w:t>为前一日的基金资产净值</w:t>
      </w:r>
    </w:p>
    <w:p w14:paraId="093C6C8E" w14:textId="77777777" w:rsidR="009D1ECE" w:rsidRDefault="009D1ECE" w:rsidP="009D1ECE">
      <w:pPr>
        <w:adjustRightInd w:val="0"/>
        <w:snapToGrid w:val="0"/>
        <w:spacing w:line="360" w:lineRule="auto"/>
        <w:ind w:left="60" w:firstLine="420"/>
        <w:rPr>
          <w:bCs/>
          <w:sz w:val="24"/>
        </w:rPr>
      </w:pPr>
      <w:r>
        <w:rPr>
          <w:rFonts w:hint="eastAsia"/>
          <w:bCs/>
          <w:sz w:val="24"/>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rPr>
        <w:t>365</w:t>
      </w:r>
      <w:r>
        <w:rPr>
          <w:rFonts w:hint="eastAsia"/>
          <w:bCs/>
          <w:sz w:val="24"/>
        </w:rPr>
        <w:t>天，且该笔基金份额的年化收益率（</w:t>
      </w:r>
      <w:r>
        <w:rPr>
          <w:rFonts w:hint="eastAsia"/>
          <w:bCs/>
          <w:sz w:val="24"/>
        </w:rPr>
        <w:t>R</w:t>
      </w:r>
      <w:r>
        <w:rPr>
          <w:rFonts w:hint="eastAsia"/>
          <w:bCs/>
          <w:sz w:val="24"/>
        </w:rPr>
        <w:t>）符合下表“情形三”的收取情形，将从该笔基金份额的赎回款（或清算款）中扣除</w:t>
      </w:r>
      <w:r>
        <w:rPr>
          <w:rFonts w:hint="eastAsia"/>
          <w:bCs/>
          <w:sz w:val="24"/>
        </w:rPr>
        <w:t>0.30%</w:t>
      </w:r>
      <w:r>
        <w:rPr>
          <w:rFonts w:hint="eastAsia"/>
          <w:bCs/>
          <w:sz w:val="24"/>
        </w:rPr>
        <w:t>年费率的超额管理费，并随已计提的或有管理费一同确认为应由管理人收取的管理费。</w:t>
      </w:r>
    </w:p>
    <w:p w14:paraId="6E1D4A3E" w14:textId="77777777" w:rsidR="009D1ECE" w:rsidRDefault="009D1ECE" w:rsidP="009D1ECE">
      <w:pPr>
        <w:spacing w:line="360" w:lineRule="auto"/>
        <w:ind w:firstLineChars="200" w:firstLine="480"/>
        <w:rPr>
          <w:bCs/>
          <w:sz w:val="24"/>
        </w:rPr>
      </w:pPr>
      <w:r>
        <w:rPr>
          <w:rFonts w:hint="eastAsia"/>
          <w:bCs/>
          <w:sz w:val="24"/>
        </w:rPr>
        <w:t>当投资者赎回、转出基金份额或基金合同终止的情形发生时，基金份额持有天数达到或超过</w:t>
      </w:r>
      <w:r>
        <w:rPr>
          <w:rFonts w:hint="eastAsia"/>
          <w:bCs/>
          <w:sz w:val="24"/>
        </w:rPr>
        <w:t>365</w:t>
      </w:r>
      <w:r>
        <w:rPr>
          <w:rFonts w:hint="eastAsia"/>
          <w:bCs/>
          <w:sz w:val="24"/>
        </w:rPr>
        <w:t>天，本基金根据以下三种情形确认应实际收取的或有管理费和</w:t>
      </w:r>
      <w:r>
        <w:rPr>
          <w:rFonts w:hint="eastAsia"/>
          <w:bCs/>
          <w:sz w:val="24"/>
        </w:rPr>
        <w:lastRenderedPageBreak/>
        <w:t>超额管理费：</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933"/>
        <w:gridCol w:w="1701"/>
        <w:gridCol w:w="1701"/>
      </w:tblGrid>
      <w:tr w:rsidR="009D1ECE" w14:paraId="256DEB37" w14:textId="77777777" w:rsidTr="00711497">
        <w:trPr>
          <w:trHeight w:val="510"/>
          <w:jc w:val="center"/>
        </w:trPr>
        <w:tc>
          <w:tcPr>
            <w:tcW w:w="1247" w:type="dxa"/>
            <w:vAlign w:val="center"/>
          </w:tcPr>
          <w:p w14:paraId="74B61160" w14:textId="77777777" w:rsidR="009D1ECE" w:rsidRDefault="009D1ECE" w:rsidP="00711497">
            <w:pPr>
              <w:adjustRightInd w:val="0"/>
              <w:snapToGrid w:val="0"/>
              <w:jc w:val="center"/>
              <w:rPr>
                <w:rFonts w:ascii="宋体" w:hAnsi="宋体"/>
                <w:b/>
                <w:bCs/>
                <w:sz w:val="22"/>
              </w:rPr>
            </w:pPr>
            <w:bookmarkStart w:id="103" w:name="_Hlk195865040"/>
            <w:r>
              <w:rPr>
                <w:rFonts w:ascii="宋体" w:hAnsi="宋体" w:hint="eastAsia"/>
                <w:b/>
                <w:bCs/>
                <w:sz w:val="22"/>
              </w:rPr>
              <w:t>收取情形</w:t>
            </w:r>
          </w:p>
        </w:tc>
        <w:tc>
          <w:tcPr>
            <w:tcW w:w="2933" w:type="dxa"/>
            <w:vAlign w:val="center"/>
          </w:tcPr>
          <w:p w14:paraId="07C57C9A" w14:textId="77777777" w:rsidR="009D1ECE" w:rsidRDefault="009D1ECE" w:rsidP="00711497">
            <w:pPr>
              <w:adjustRightInd w:val="0"/>
              <w:snapToGrid w:val="0"/>
              <w:jc w:val="center"/>
              <w:rPr>
                <w:rFonts w:ascii="宋体" w:hAnsi="宋体"/>
                <w:b/>
                <w:bCs/>
                <w:sz w:val="22"/>
              </w:rPr>
            </w:pPr>
            <w:r>
              <w:rPr>
                <w:rFonts w:ascii="宋体" w:hAnsi="宋体" w:hint="eastAsia"/>
                <w:b/>
                <w:bCs/>
                <w:sz w:val="22"/>
              </w:rPr>
              <w:t>年化收益率（</w:t>
            </w:r>
            <w:r>
              <w:rPr>
                <w:rFonts w:ascii="宋体" w:hAnsi="宋体"/>
                <w:b/>
                <w:bCs/>
                <w:sz w:val="22"/>
              </w:rPr>
              <w:t>R</w:t>
            </w:r>
            <w:r>
              <w:rPr>
                <w:rFonts w:ascii="宋体" w:hAnsi="宋体" w:hint="eastAsia"/>
                <w:b/>
                <w:bCs/>
                <w:sz w:val="22"/>
              </w:rPr>
              <w:t>）</w:t>
            </w:r>
          </w:p>
        </w:tc>
        <w:tc>
          <w:tcPr>
            <w:tcW w:w="1701" w:type="dxa"/>
            <w:vAlign w:val="center"/>
          </w:tcPr>
          <w:p w14:paraId="3E49C2A3" w14:textId="77777777" w:rsidR="009D1ECE" w:rsidRDefault="009D1ECE" w:rsidP="00711497">
            <w:pPr>
              <w:adjustRightInd w:val="0"/>
              <w:snapToGrid w:val="0"/>
              <w:jc w:val="center"/>
              <w:rPr>
                <w:rFonts w:ascii="宋体" w:hAnsi="宋体"/>
                <w:b/>
                <w:bCs/>
                <w:sz w:val="22"/>
              </w:rPr>
            </w:pPr>
            <w:r>
              <w:rPr>
                <w:rFonts w:ascii="宋体" w:hAnsi="宋体" w:hint="eastAsia"/>
                <w:b/>
                <w:bCs/>
                <w:sz w:val="22"/>
              </w:rPr>
              <w:t>或有管理费</w:t>
            </w:r>
          </w:p>
          <w:p w14:paraId="2EBCC4E0" w14:textId="77777777" w:rsidR="009D1ECE" w:rsidRDefault="009D1ECE" w:rsidP="00711497">
            <w:pPr>
              <w:adjustRightInd w:val="0"/>
              <w:snapToGrid w:val="0"/>
              <w:jc w:val="center"/>
              <w:rPr>
                <w:rFonts w:ascii="宋体" w:hAnsi="宋体"/>
                <w:b/>
                <w:bCs/>
                <w:sz w:val="22"/>
              </w:rPr>
            </w:pPr>
            <w:r>
              <w:rPr>
                <w:rFonts w:ascii="宋体" w:hAnsi="宋体" w:hint="eastAsia"/>
                <w:b/>
                <w:bCs/>
                <w:sz w:val="22"/>
              </w:rPr>
              <w:t>（年费率）</w:t>
            </w:r>
          </w:p>
        </w:tc>
        <w:tc>
          <w:tcPr>
            <w:tcW w:w="1701" w:type="dxa"/>
            <w:vAlign w:val="center"/>
          </w:tcPr>
          <w:p w14:paraId="1AD9A12A" w14:textId="77777777" w:rsidR="009D1ECE" w:rsidRDefault="009D1ECE" w:rsidP="00711497">
            <w:pPr>
              <w:adjustRightInd w:val="0"/>
              <w:snapToGrid w:val="0"/>
              <w:jc w:val="center"/>
              <w:rPr>
                <w:rFonts w:ascii="宋体" w:hAnsi="宋体"/>
                <w:b/>
                <w:bCs/>
                <w:sz w:val="22"/>
              </w:rPr>
            </w:pPr>
            <w:r>
              <w:rPr>
                <w:rFonts w:ascii="宋体" w:hAnsi="宋体" w:hint="eastAsia"/>
                <w:b/>
                <w:bCs/>
                <w:sz w:val="22"/>
              </w:rPr>
              <w:t>超额管理费</w:t>
            </w:r>
          </w:p>
          <w:p w14:paraId="2A088F4B" w14:textId="77777777" w:rsidR="009D1ECE" w:rsidRDefault="009D1ECE" w:rsidP="00711497">
            <w:pPr>
              <w:adjustRightInd w:val="0"/>
              <w:snapToGrid w:val="0"/>
              <w:jc w:val="center"/>
              <w:rPr>
                <w:rFonts w:ascii="宋体" w:hAnsi="宋体"/>
                <w:b/>
                <w:bCs/>
                <w:sz w:val="22"/>
              </w:rPr>
            </w:pPr>
            <w:r>
              <w:rPr>
                <w:rFonts w:ascii="宋体" w:hAnsi="宋体" w:hint="eastAsia"/>
                <w:b/>
                <w:bCs/>
                <w:sz w:val="22"/>
              </w:rPr>
              <w:t>（年费率）</w:t>
            </w:r>
          </w:p>
        </w:tc>
      </w:tr>
      <w:tr w:rsidR="009D1ECE" w14:paraId="4003C5EB" w14:textId="77777777" w:rsidTr="00711497">
        <w:trPr>
          <w:trHeight w:val="510"/>
          <w:jc w:val="center"/>
        </w:trPr>
        <w:tc>
          <w:tcPr>
            <w:tcW w:w="1247" w:type="dxa"/>
            <w:vAlign w:val="center"/>
          </w:tcPr>
          <w:p w14:paraId="04E574F3" w14:textId="77777777" w:rsidR="009D1ECE" w:rsidRDefault="009D1ECE" w:rsidP="00711497">
            <w:pPr>
              <w:adjustRightInd w:val="0"/>
              <w:snapToGrid w:val="0"/>
              <w:jc w:val="center"/>
              <w:rPr>
                <w:rFonts w:ascii="宋体" w:hAnsi="宋体"/>
                <w:sz w:val="22"/>
              </w:rPr>
            </w:pPr>
            <w:r>
              <w:rPr>
                <w:rFonts w:ascii="宋体" w:hAnsi="宋体" w:hint="eastAsia"/>
                <w:bCs/>
                <w:sz w:val="22"/>
              </w:rPr>
              <w:t>情形</w:t>
            </w:r>
            <w:r>
              <w:rPr>
                <w:rFonts w:ascii="宋体" w:hAnsi="宋体" w:hint="eastAsia"/>
                <w:sz w:val="22"/>
              </w:rPr>
              <w:t>一</w:t>
            </w:r>
          </w:p>
        </w:tc>
        <w:tc>
          <w:tcPr>
            <w:tcW w:w="2933" w:type="dxa"/>
            <w:vAlign w:val="center"/>
          </w:tcPr>
          <w:p w14:paraId="71C44B31" w14:textId="77777777" w:rsidR="009D1ECE" w:rsidRDefault="009D1ECE" w:rsidP="00711497">
            <w:pPr>
              <w:adjustRightInd w:val="0"/>
              <w:snapToGrid w:val="0"/>
              <w:jc w:val="center"/>
              <w:rPr>
                <w:rFonts w:ascii="仿宋" w:eastAsia="仿宋" w:hAnsi="仿宋"/>
                <w:i/>
                <w:sz w:val="22"/>
              </w:rPr>
            </w:pPr>
            <w:r>
              <w:rPr>
                <w:rFonts w:ascii="Cambria Math" w:eastAsia="仿宋" w:hAnsi="Cambria Math"/>
                <w:sz w:val="22"/>
              </w:rPr>
              <w:t>R</w:t>
            </w:r>
            <w:r>
              <w:rPr>
                <w:rFonts w:ascii="仿宋" w:eastAsia="仿宋" w:hAnsi="仿宋" w:hint="eastAsia"/>
                <w:sz w:val="22"/>
              </w:rPr>
              <w:t>≤</w:t>
            </w:r>
            <w:r>
              <w:rPr>
                <w:rFonts w:ascii="Cambria Math" w:eastAsia="仿宋" w:hAnsi="Cambria Math"/>
                <w:sz w:val="22"/>
              </w:rPr>
              <w:t>R</w:t>
            </w:r>
            <w:r>
              <w:rPr>
                <w:rFonts w:ascii="Cambria Math" w:eastAsia="仿宋" w:hAnsi="Cambria Math"/>
                <w:sz w:val="22"/>
                <w:vertAlign w:val="subscript"/>
              </w:rPr>
              <w:t>b</w:t>
            </w:r>
            <w:r>
              <w:rPr>
                <w:rFonts w:ascii="Cambria Math" w:eastAsia="仿宋" w:hAnsi="Cambria Math" w:hint="eastAsia"/>
                <w:sz w:val="22"/>
              </w:rPr>
              <w:t>-3%</w:t>
            </w:r>
          </w:p>
        </w:tc>
        <w:tc>
          <w:tcPr>
            <w:tcW w:w="1701" w:type="dxa"/>
            <w:vAlign w:val="center"/>
          </w:tcPr>
          <w:p w14:paraId="12858A7E" w14:textId="77777777" w:rsidR="009D1ECE" w:rsidRDefault="009D1ECE" w:rsidP="00711497">
            <w:pPr>
              <w:adjustRightInd w:val="0"/>
              <w:snapToGrid w:val="0"/>
              <w:jc w:val="center"/>
              <w:rPr>
                <w:rFonts w:ascii="Cambria" w:eastAsia="仿宋" w:hAnsi="Cambria"/>
                <w:sz w:val="22"/>
              </w:rPr>
            </w:pPr>
            <w:r>
              <w:rPr>
                <w:rFonts w:ascii="Cambria" w:eastAsia="仿宋" w:hAnsi="Cambria" w:hint="eastAsia"/>
                <w:sz w:val="22"/>
              </w:rPr>
              <w:t>0</w:t>
            </w:r>
          </w:p>
        </w:tc>
        <w:tc>
          <w:tcPr>
            <w:tcW w:w="1701" w:type="dxa"/>
            <w:vAlign w:val="center"/>
          </w:tcPr>
          <w:p w14:paraId="281EC8A2" w14:textId="77777777" w:rsidR="009D1ECE" w:rsidRDefault="009D1ECE" w:rsidP="00711497">
            <w:pPr>
              <w:adjustRightInd w:val="0"/>
              <w:snapToGrid w:val="0"/>
              <w:jc w:val="center"/>
              <w:rPr>
                <w:rFonts w:ascii="Cambria" w:eastAsia="仿宋" w:hAnsi="Cambria"/>
                <w:sz w:val="22"/>
              </w:rPr>
            </w:pPr>
            <w:r>
              <w:rPr>
                <w:rFonts w:ascii="Cambria" w:eastAsia="仿宋" w:hAnsi="Cambria" w:hint="eastAsia"/>
                <w:sz w:val="22"/>
              </w:rPr>
              <w:t>0</w:t>
            </w:r>
          </w:p>
        </w:tc>
      </w:tr>
      <w:tr w:rsidR="009D1ECE" w14:paraId="4AC51154" w14:textId="77777777" w:rsidTr="00711497">
        <w:trPr>
          <w:trHeight w:val="510"/>
          <w:jc w:val="center"/>
        </w:trPr>
        <w:tc>
          <w:tcPr>
            <w:tcW w:w="1247" w:type="dxa"/>
            <w:vAlign w:val="center"/>
          </w:tcPr>
          <w:p w14:paraId="6BCCA4C1" w14:textId="77777777" w:rsidR="009D1ECE" w:rsidRDefault="009D1ECE" w:rsidP="00711497">
            <w:pPr>
              <w:adjustRightInd w:val="0"/>
              <w:snapToGrid w:val="0"/>
              <w:jc w:val="center"/>
              <w:rPr>
                <w:rFonts w:ascii="宋体" w:hAnsi="宋体"/>
                <w:sz w:val="22"/>
              </w:rPr>
            </w:pPr>
            <w:r>
              <w:rPr>
                <w:rFonts w:ascii="宋体" w:hAnsi="宋体" w:hint="eastAsia"/>
                <w:bCs/>
                <w:sz w:val="22"/>
              </w:rPr>
              <w:t>情形</w:t>
            </w:r>
            <w:r>
              <w:rPr>
                <w:rFonts w:ascii="宋体" w:hAnsi="宋体" w:hint="eastAsia"/>
                <w:sz w:val="22"/>
              </w:rPr>
              <w:t>二</w:t>
            </w:r>
          </w:p>
        </w:tc>
        <w:tc>
          <w:tcPr>
            <w:tcW w:w="2933" w:type="dxa"/>
            <w:vAlign w:val="center"/>
          </w:tcPr>
          <w:p w14:paraId="24D97EE5" w14:textId="77777777" w:rsidR="009D1ECE" w:rsidRDefault="009D1ECE" w:rsidP="00711497">
            <w:pPr>
              <w:adjustRightInd w:val="0"/>
              <w:snapToGrid w:val="0"/>
              <w:jc w:val="center"/>
              <w:rPr>
                <w:rFonts w:ascii="仿宋" w:eastAsia="仿宋" w:hAnsi="仿宋"/>
                <w:sz w:val="22"/>
              </w:rPr>
            </w:pPr>
            <w:r>
              <w:rPr>
                <w:rFonts w:ascii="宋体" w:hAnsi="宋体"/>
                <w:bCs/>
                <w:sz w:val="22"/>
              </w:rPr>
              <w:t>其他情形</w:t>
            </w:r>
          </w:p>
        </w:tc>
        <w:tc>
          <w:tcPr>
            <w:tcW w:w="1701" w:type="dxa"/>
            <w:vAlign w:val="center"/>
          </w:tcPr>
          <w:p w14:paraId="46E5D78E" w14:textId="77777777" w:rsidR="009D1ECE" w:rsidRDefault="009D1ECE" w:rsidP="00711497">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7A8B3D8C" w14:textId="77777777" w:rsidR="009D1ECE" w:rsidRDefault="009D1ECE" w:rsidP="00711497">
            <w:pPr>
              <w:adjustRightInd w:val="0"/>
              <w:snapToGrid w:val="0"/>
              <w:jc w:val="center"/>
              <w:rPr>
                <w:rFonts w:ascii="Cambria" w:eastAsia="仿宋" w:hAnsi="Cambria"/>
                <w:sz w:val="22"/>
              </w:rPr>
            </w:pPr>
            <w:r>
              <w:rPr>
                <w:rFonts w:ascii="Cambria" w:eastAsia="仿宋" w:hAnsi="Cambria" w:hint="eastAsia"/>
                <w:sz w:val="22"/>
              </w:rPr>
              <w:t>0</w:t>
            </w:r>
          </w:p>
        </w:tc>
      </w:tr>
      <w:tr w:rsidR="009D1ECE" w14:paraId="41FD98BA" w14:textId="77777777" w:rsidTr="00711497">
        <w:trPr>
          <w:trHeight w:val="510"/>
          <w:jc w:val="center"/>
        </w:trPr>
        <w:tc>
          <w:tcPr>
            <w:tcW w:w="1247" w:type="dxa"/>
            <w:vAlign w:val="center"/>
          </w:tcPr>
          <w:p w14:paraId="0536ABE5" w14:textId="77777777" w:rsidR="009D1ECE" w:rsidRDefault="009D1ECE" w:rsidP="00711497">
            <w:pPr>
              <w:adjustRightInd w:val="0"/>
              <w:snapToGrid w:val="0"/>
              <w:jc w:val="center"/>
              <w:rPr>
                <w:rFonts w:ascii="宋体" w:hAnsi="宋体"/>
                <w:sz w:val="22"/>
              </w:rPr>
            </w:pPr>
            <w:r>
              <w:rPr>
                <w:rFonts w:ascii="宋体" w:hAnsi="宋体" w:hint="eastAsia"/>
                <w:sz w:val="22"/>
              </w:rPr>
              <w:t>情形三</w:t>
            </w:r>
          </w:p>
        </w:tc>
        <w:tc>
          <w:tcPr>
            <w:tcW w:w="2933" w:type="dxa"/>
            <w:vAlign w:val="center"/>
          </w:tcPr>
          <w:p w14:paraId="1D6D24A5" w14:textId="77777777" w:rsidR="009D1ECE" w:rsidRDefault="009D1ECE" w:rsidP="00711497">
            <w:pPr>
              <w:adjustRightInd w:val="0"/>
              <w:snapToGrid w:val="0"/>
              <w:spacing w:line="276" w:lineRule="auto"/>
              <w:jc w:val="center"/>
              <w:rPr>
                <w:rFonts w:ascii="仿宋" w:eastAsia="仿宋" w:hAnsi="仿宋"/>
                <w:b/>
                <w:bCs/>
                <w:sz w:val="22"/>
              </w:rPr>
            </w:pPr>
            <w:r>
              <w:rPr>
                <w:bCs/>
                <w:sz w:val="22"/>
              </w:rPr>
              <w:t>R</w:t>
            </w:r>
            <w:r>
              <w:rPr>
                <w:rFonts w:ascii="仿宋" w:eastAsia="仿宋" w:hAnsi="仿宋" w:hint="eastAsia"/>
                <w:bCs/>
                <w:sz w:val="22"/>
              </w:rPr>
              <w:t>＞</w:t>
            </w:r>
            <w:r>
              <w:rPr>
                <w:bCs/>
                <w:sz w:val="22"/>
              </w:rPr>
              <w:t>R</w:t>
            </w:r>
            <w:r>
              <w:rPr>
                <w:rFonts w:ascii="等线 Light" w:hAnsi="等线 Light"/>
                <w:spacing w:val="-2"/>
                <w:sz w:val="22"/>
                <w:vertAlign w:val="subscript"/>
              </w:rPr>
              <w:t>b</w:t>
            </w:r>
            <w:r>
              <w:rPr>
                <w:bCs/>
                <w:sz w:val="22"/>
              </w:rPr>
              <w:t>+6%</w:t>
            </w:r>
            <w:r>
              <w:rPr>
                <w:bCs/>
                <w:sz w:val="22"/>
              </w:rPr>
              <w:t>，</w:t>
            </w:r>
            <w:r>
              <w:rPr>
                <w:bCs/>
                <w:sz w:val="22"/>
              </w:rPr>
              <w:t>R</w:t>
            </w:r>
            <w:r>
              <w:rPr>
                <w:rFonts w:ascii="仿宋" w:eastAsia="仿宋" w:hAnsi="仿宋" w:hint="eastAsia"/>
                <w:bCs/>
                <w:sz w:val="22"/>
              </w:rPr>
              <w:t>＞</w:t>
            </w:r>
            <w:r>
              <w:rPr>
                <w:bCs/>
                <w:sz w:val="22"/>
              </w:rPr>
              <w:t>0</w:t>
            </w:r>
          </w:p>
        </w:tc>
        <w:tc>
          <w:tcPr>
            <w:tcW w:w="1701" w:type="dxa"/>
            <w:vAlign w:val="center"/>
          </w:tcPr>
          <w:p w14:paraId="7F23871C" w14:textId="77777777" w:rsidR="009D1ECE" w:rsidRDefault="009D1ECE" w:rsidP="00711497">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11032DB8" w14:textId="77777777" w:rsidR="009D1ECE" w:rsidRDefault="009D1ECE" w:rsidP="00711497">
            <w:pPr>
              <w:adjustRightInd w:val="0"/>
              <w:snapToGrid w:val="0"/>
              <w:jc w:val="center"/>
              <w:rPr>
                <w:rFonts w:ascii="Cambria" w:eastAsia="仿宋" w:hAnsi="Cambria"/>
                <w:sz w:val="22"/>
              </w:rPr>
            </w:pPr>
            <w:r>
              <w:rPr>
                <w:rFonts w:ascii="Cambria" w:eastAsia="仿宋" w:hAnsi="Cambria" w:hint="eastAsia"/>
                <w:sz w:val="22"/>
              </w:rPr>
              <w:t>0.30%</w:t>
            </w:r>
          </w:p>
        </w:tc>
      </w:tr>
    </w:tbl>
    <w:bookmarkEnd w:id="103"/>
    <w:p w14:paraId="38D8E9D8" w14:textId="77777777" w:rsidR="009D1ECE" w:rsidRDefault="009D1ECE" w:rsidP="009D1ECE">
      <w:pPr>
        <w:spacing w:line="360" w:lineRule="auto"/>
        <w:ind w:firstLineChars="200" w:firstLine="480"/>
        <w:rPr>
          <w:bCs/>
          <w:sz w:val="24"/>
        </w:rPr>
      </w:pPr>
      <w:r>
        <w:rPr>
          <w:rFonts w:hint="eastAsia"/>
          <w:bCs/>
          <w:sz w:val="24"/>
        </w:rPr>
        <w:t>对于“情形三”，若拟扣除超额管理费后的年化收益率小于等于</w:t>
      </w:r>
      <w:r>
        <w:rPr>
          <w:bCs/>
          <w:sz w:val="24"/>
        </w:rPr>
        <w:t>R</w:t>
      </w:r>
      <w:r>
        <w:rPr>
          <w:bCs/>
          <w:sz w:val="24"/>
          <w:vertAlign w:val="subscript"/>
        </w:rPr>
        <w:t>b</w:t>
      </w:r>
      <w:r>
        <w:rPr>
          <w:bCs/>
          <w:sz w:val="24"/>
        </w:rPr>
        <w:t>+6%</w:t>
      </w:r>
      <w:r>
        <w:rPr>
          <w:rFonts w:hint="eastAsia"/>
          <w:bCs/>
          <w:sz w:val="24"/>
        </w:rPr>
        <w:t>，或小于等于</w:t>
      </w:r>
      <w:r>
        <w:rPr>
          <w:rFonts w:hint="eastAsia"/>
          <w:bCs/>
          <w:sz w:val="24"/>
        </w:rPr>
        <w:t>0</w:t>
      </w:r>
      <w:r>
        <w:rPr>
          <w:rFonts w:hint="eastAsia"/>
          <w:bCs/>
          <w:sz w:val="24"/>
        </w:rPr>
        <w:t>时，仍按</w:t>
      </w:r>
      <w:r>
        <w:rPr>
          <w:rFonts w:hint="eastAsia"/>
          <w:bCs/>
          <w:sz w:val="24"/>
        </w:rPr>
        <w:t>1.20%</w:t>
      </w:r>
      <w:r>
        <w:rPr>
          <w:rFonts w:hint="eastAsia"/>
          <w:bCs/>
          <w:sz w:val="24"/>
        </w:rPr>
        <w:t>年费率收取该笔基金份额的管理费，以使得该笔基金份额在扣除超额管理费后的年化收益率仍需满足本基金收取超额管理费的标准。</w:t>
      </w:r>
    </w:p>
    <w:p w14:paraId="748FC7E0" w14:textId="77777777" w:rsidR="009D1ECE" w:rsidRDefault="009D1ECE" w:rsidP="009D1ECE">
      <w:pPr>
        <w:adjustRightInd w:val="0"/>
        <w:snapToGrid w:val="0"/>
        <w:spacing w:line="360" w:lineRule="auto"/>
        <w:ind w:firstLineChars="177" w:firstLine="425"/>
        <w:rPr>
          <w:rFonts w:ascii="宋体" w:hAnsi="宋体"/>
          <w:sz w:val="24"/>
        </w:rPr>
      </w:pPr>
      <w:r>
        <w:rPr>
          <w:rFonts w:ascii="宋体" w:hAnsi="宋体" w:hint="eastAsia"/>
          <w:sz w:val="24"/>
        </w:rPr>
        <w:t>每笔基金份额的年化收益率（R）计算方法如下：</w:t>
      </w:r>
    </w:p>
    <w:p w14:paraId="4AF3D65C" w14:textId="77777777" w:rsidR="009D1ECE" w:rsidRDefault="009D1ECE" w:rsidP="009D1ECE">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rPr>
          <m:t>R=</m:t>
        </m:r>
        <m:f>
          <m:fPr>
            <m:ctrlPr>
              <w:rPr>
                <w:rFonts w:ascii="Cambria Math" w:hAnsi="Cambria Math"/>
                <w:sz w:val="28"/>
              </w:rPr>
            </m:ctrlPr>
          </m:fPr>
          <m:num>
            <m:r>
              <w:rPr>
                <w:rFonts w:ascii="Cambria Math" w:hAnsi="Cambria Math" w:hint="eastAsia"/>
                <w:sz w:val="28"/>
              </w:rPr>
              <m:t>A</m:t>
            </m:r>
            <m:r>
              <w:rPr>
                <w:rFonts w:ascii="Cambria Math" w:hAnsi="Cambria Math"/>
                <w:sz w:val="28"/>
              </w:rPr>
              <m:t>-</m:t>
            </m:r>
            <m:r>
              <w:rPr>
                <w:rFonts w:ascii="Cambria Math" w:hAnsi="Cambria Math" w:hint="eastAsia"/>
                <w:sz w:val="28"/>
              </w:rPr>
              <m:t>B</m:t>
            </m:r>
          </m:num>
          <m:den>
            <m:r>
              <w:rPr>
                <w:rFonts w:ascii="Cambria Math" w:hAnsi="Cambria Math" w:hint="eastAsia"/>
                <w:sz w:val="28"/>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sz w:val="32"/>
              </w:rPr>
            </m:ctrlPr>
          </m:fPr>
          <m:num>
            <m:r>
              <w:rPr>
                <w:rFonts w:ascii="Cambria Math" w:hAnsi="Cambria Math"/>
                <w:sz w:val="32"/>
              </w:rPr>
              <m:t>365</m:t>
            </m:r>
          </m:num>
          <m:den>
            <m:r>
              <w:rPr>
                <w:rFonts w:ascii="Cambria Math" w:hAnsi="Cambria Math" w:hint="eastAsia"/>
                <w:sz w:val="32"/>
              </w:rPr>
              <m:t>D</m:t>
            </m:r>
          </m:den>
        </m:f>
      </m:oMath>
      <w:r>
        <w:rPr>
          <w:rFonts w:ascii="等线" w:eastAsia="等线" w:hAnsi="等线"/>
          <w:sz w:val="24"/>
        </w:rPr>
        <w:t xml:space="preserve"> × 100%</w:t>
      </w:r>
    </w:p>
    <w:p w14:paraId="0773562D" w14:textId="77777777" w:rsidR="009D1ECE" w:rsidRDefault="009D1ECE" w:rsidP="009D1ECE">
      <w:pPr>
        <w:spacing w:line="360" w:lineRule="auto"/>
        <w:ind w:firstLineChars="200" w:firstLine="480"/>
        <w:rPr>
          <w:bCs/>
          <w:sz w:val="24"/>
        </w:rPr>
      </w:pPr>
      <w:r>
        <w:rPr>
          <w:rFonts w:hint="eastAsia"/>
          <w:bCs/>
          <w:sz w:val="24"/>
        </w:rPr>
        <w:t>拟扣除超额管理费后的年化收益率（</w:t>
      </w:r>
      <w:r>
        <w:rPr>
          <w:rFonts w:hint="eastAsia"/>
          <w:bCs/>
          <w:sz w:val="24"/>
        </w:rPr>
        <w:t>R*</w:t>
      </w:r>
      <w:r>
        <w:rPr>
          <w:rFonts w:hint="eastAsia"/>
          <w:bCs/>
          <w:sz w:val="24"/>
        </w:rPr>
        <w:t>）的计算方法如下：</w:t>
      </w:r>
    </w:p>
    <w:p w14:paraId="6EBDAC26" w14:textId="77777777" w:rsidR="009D1ECE" w:rsidRDefault="001B538E" w:rsidP="009D1ECE">
      <w:pPr>
        <w:spacing w:line="360" w:lineRule="auto"/>
        <w:ind w:firstLineChars="200" w:firstLine="480"/>
        <w:jc w:val="center"/>
        <w:rPr>
          <w:bCs/>
          <w:sz w:val="24"/>
        </w:rPr>
      </w:pPr>
      <m:oMathPara>
        <m:oMath>
          <m:sSup>
            <m:sSupPr>
              <m:ctrlPr>
                <w:rPr>
                  <w:rFonts w:ascii="Cambria Math" w:hAnsi="Cambria Math"/>
                  <w:bCs/>
                  <w:sz w:val="24"/>
                </w:rPr>
              </m:ctrlPr>
            </m:sSupPr>
            <m:e>
              <m:r>
                <w:rPr>
                  <w:rFonts w:ascii="Cambria Math" w:hAnsi="Cambria Math"/>
                  <w:sz w:val="24"/>
                </w:rPr>
                <m:t>R</m:t>
              </m:r>
            </m:e>
            <m:sup>
              <m:r>
                <w:rPr>
                  <w:rFonts w:ascii="Cambria Math" w:hAnsi="Cambria Math"/>
                  <w:sz w:val="24"/>
                </w:rPr>
                <m:t>*</m:t>
              </m:r>
            </m:sup>
          </m:sSup>
          <m:r>
            <w:rPr>
              <w:rFonts w:ascii="Cambria Math" w:hAnsi="Cambria Math"/>
              <w:sz w:val="24"/>
            </w:rPr>
            <m:t>=</m:t>
          </m:r>
          <m:f>
            <m:fPr>
              <m:ctrlPr>
                <w:rPr>
                  <w:rFonts w:ascii="Cambria Math" w:hAnsi="Cambria Math"/>
                  <w:bCs/>
                  <w:i/>
                  <w:sz w:val="24"/>
                </w:rPr>
              </m:ctrlPr>
            </m:fPr>
            <m:num>
              <m:r>
                <w:rPr>
                  <w:rFonts w:ascii="Cambria Math" w:hAnsi="Cambria Math"/>
                  <w:sz w:val="24"/>
                </w:rPr>
                <m:t>F×</m:t>
              </m:r>
              <m:d>
                <m:dPr>
                  <m:ctrlPr>
                    <w:rPr>
                      <w:rFonts w:ascii="Cambria Math" w:hAnsi="Cambria Math"/>
                      <w:bCs/>
                      <w:i/>
                      <w:sz w:val="24"/>
                    </w:rPr>
                  </m:ctrlPr>
                </m:dPr>
                <m:e>
                  <m:r>
                    <w:rPr>
                      <w:rFonts w:ascii="Cambria Math" w:hAnsi="Cambria Math"/>
                      <w:sz w:val="24"/>
                    </w:rPr>
                    <m:t>A-B</m:t>
                  </m:r>
                </m:e>
              </m:d>
              <m:r>
                <w:rPr>
                  <w:rFonts w:ascii="Cambria Math" w:hAnsi="Cambria Math"/>
                  <w:sz w:val="24"/>
                </w:rPr>
                <m:t>-</m:t>
              </m:r>
              <m:sSub>
                <m:sSubPr>
                  <m:ctrlPr>
                    <w:rPr>
                      <w:rFonts w:ascii="Cambria Math" w:hAnsi="Cambria Math"/>
                      <w:bCs/>
                      <w:i/>
                      <w:sz w:val="24"/>
                    </w:rPr>
                  </m:ctrlPr>
                </m:sSubPr>
                <m:e>
                  <m:r>
                    <w:rPr>
                      <w:rFonts w:ascii="Cambria Math" w:hAnsi="Cambria Math"/>
                      <w:sz w:val="24"/>
                    </w:rPr>
                    <m:t>M</m:t>
                  </m:r>
                </m:e>
                <m:sub>
                  <m:r>
                    <w:rPr>
                      <w:rFonts w:ascii="Cambria Math" w:hAnsi="Cambria Math"/>
                      <w:sz w:val="24"/>
                    </w:rPr>
                    <m:t>C</m:t>
                  </m:r>
                </m:sub>
              </m:sSub>
            </m:num>
            <m:den>
              <m:r>
                <w:rPr>
                  <w:rFonts w:ascii="Cambria Math" w:hAnsi="Cambria Math"/>
                  <w:sz w:val="24"/>
                </w:rPr>
                <m:t>F×C</m:t>
              </m:r>
            </m:den>
          </m:f>
          <m:r>
            <w:rPr>
              <w:rFonts w:ascii="Cambria Math" w:hAnsi="Cambria Math"/>
              <w:sz w:val="24"/>
            </w:rPr>
            <m:t>×</m:t>
          </m:r>
          <m:f>
            <m:fPr>
              <m:ctrlPr>
                <w:rPr>
                  <w:rFonts w:ascii="Cambria Math" w:hAnsi="Cambria Math"/>
                  <w:bCs/>
                  <w:i/>
                  <w:sz w:val="24"/>
                </w:rPr>
              </m:ctrlPr>
            </m:fPr>
            <m:num>
              <m:r>
                <w:rPr>
                  <w:rFonts w:ascii="Cambria Math" w:hAnsi="Cambria Math"/>
                  <w:sz w:val="24"/>
                </w:rPr>
                <m:t>365</m:t>
              </m:r>
            </m:num>
            <m:den>
              <m:r>
                <w:rPr>
                  <w:rFonts w:ascii="Cambria Math" w:hAnsi="Cambria Math"/>
                  <w:sz w:val="24"/>
                </w:rPr>
                <m:t>D</m:t>
              </m:r>
            </m:den>
          </m:f>
          <m:r>
            <w:rPr>
              <w:rFonts w:ascii="Cambria Math" w:eastAsia="仿宋" w:hAnsi="Cambria Math" w:cs="TimesNewRomanPSMT"/>
              <w:sz w:val="24"/>
            </w:rPr>
            <m:t>×100%</m:t>
          </m:r>
        </m:oMath>
      </m:oMathPara>
    </w:p>
    <w:p w14:paraId="7D8229A8"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R为该笔基金份额的年化收益率；</w:t>
      </w:r>
      <w:r>
        <w:rPr>
          <w:bCs/>
          <w:sz w:val="24"/>
        </w:rPr>
        <w:t>R</w:t>
      </w:r>
      <w:r>
        <w:rPr>
          <w:bCs/>
          <w:sz w:val="24"/>
          <w:vertAlign w:val="subscript"/>
        </w:rPr>
        <w:t>b</w:t>
      </w:r>
      <w:r>
        <w:rPr>
          <w:rFonts w:ascii="宋体" w:hAnsi="宋体" w:hint="eastAsia"/>
          <w:sz w:val="24"/>
        </w:rPr>
        <w:t>为本基金业绩比较基准同期年化收益率；</w:t>
      </w:r>
    </w:p>
    <w:p w14:paraId="05851BFA"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A为该笔基金份额赎回日、转换转出日或基金合同终止情形发生日的基金份额累计净值；</w:t>
      </w:r>
    </w:p>
    <w:p w14:paraId="5E8F08BB"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B为该笔基金份额认购/申购/转换转入日的基金份额累计净值，其中份额认购日的基金份额（累计）净值为1.00元；</w:t>
      </w:r>
    </w:p>
    <w:p w14:paraId="304ECFA4"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C为该笔基金份额认购/申购/转换转入日的基金份额净值，</w:t>
      </w:r>
      <w:r>
        <w:rPr>
          <w:rFonts w:hint="eastAsia"/>
          <w:bCs/>
          <w:sz w:val="24"/>
        </w:rPr>
        <w:t>其中</w:t>
      </w:r>
      <w:r>
        <w:rPr>
          <w:bCs/>
          <w:sz w:val="24"/>
        </w:rPr>
        <w:t>份额认购日的基金份额净值为</w:t>
      </w:r>
      <w:r>
        <w:rPr>
          <w:rFonts w:hint="eastAsia"/>
          <w:bCs/>
          <w:sz w:val="24"/>
        </w:rPr>
        <w:t>1</w:t>
      </w:r>
      <w:r>
        <w:rPr>
          <w:bCs/>
          <w:sz w:val="24"/>
        </w:rPr>
        <w:t>.00</w:t>
      </w:r>
      <w:r>
        <w:rPr>
          <w:bCs/>
          <w:sz w:val="24"/>
        </w:rPr>
        <w:t>元</w:t>
      </w:r>
      <w:r>
        <w:rPr>
          <w:rFonts w:ascii="宋体" w:hAnsi="宋体" w:hint="eastAsia"/>
          <w:sz w:val="24"/>
        </w:rPr>
        <w:t>；</w:t>
      </w:r>
    </w:p>
    <w:p w14:paraId="5A809B05" w14:textId="77777777" w:rsidR="009D1ECE" w:rsidRDefault="009D1ECE" w:rsidP="009D1ECE">
      <w:pPr>
        <w:adjustRightInd w:val="0"/>
        <w:snapToGrid w:val="0"/>
        <w:spacing w:line="360" w:lineRule="auto"/>
        <w:ind w:left="60" w:firstLine="420"/>
        <w:rPr>
          <w:rFonts w:ascii="宋体" w:hAnsi="宋体"/>
          <w:sz w:val="24"/>
        </w:rPr>
      </w:pPr>
      <w:r>
        <w:rPr>
          <w:rFonts w:ascii="宋体" w:hAnsi="宋体" w:hint="eastAsia"/>
          <w:sz w:val="24"/>
        </w:rPr>
        <w:t>D为基金合同生效日（针对募集期内认购的基金份额）或该笔基金份额申购/转换转入确认日与赎回确认日、转换转出确认日或基金合同终止情形发生日下一工作日的间隔天数；</w:t>
      </w:r>
    </w:p>
    <w:p w14:paraId="12C803DC" w14:textId="77777777" w:rsidR="009D1ECE" w:rsidRDefault="009D1ECE" w:rsidP="009D1ECE">
      <w:pPr>
        <w:adjustRightInd w:val="0"/>
        <w:snapToGrid w:val="0"/>
        <w:spacing w:line="360" w:lineRule="auto"/>
        <w:ind w:left="60" w:firstLine="420"/>
        <w:rPr>
          <w:bCs/>
          <w:sz w:val="24"/>
        </w:rPr>
      </w:pPr>
      <w:r>
        <w:rPr>
          <w:rFonts w:hint="eastAsia"/>
          <w:bCs/>
          <w:sz w:val="24"/>
        </w:rPr>
        <w:t>F</w:t>
      </w:r>
      <w:r>
        <w:rPr>
          <w:rFonts w:hint="eastAsia"/>
          <w:bCs/>
          <w:sz w:val="24"/>
        </w:rPr>
        <w:t>为该笔基金份额的份额数；</w:t>
      </w:r>
    </w:p>
    <w:p w14:paraId="1E48B7C3" w14:textId="77777777" w:rsidR="009D1ECE" w:rsidRDefault="009D1ECE" w:rsidP="009D1ECE">
      <w:pPr>
        <w:spacing w:line="360" w:lineRule="auto"/>
        <w:ind w:firstLineChars="200" w:firstLine="480"/>
        <w:rPr>
          <w:bCs/>
          <w:sz w:val="24"/>
        </w:rPr>
      </w:pPr>
      <w:r>
        <w:rPr>
          <w:rFonts w:ascii="Cambria Math" w:hAnsi="Cambria Math" w:cs="Cambria Math"/>
          <w:bCs/>
          <w:sz w:val="24"/>
        </w:rPr>
        <w:t>𝑀𝑐</w:t>
      </w:r>
      <w:r>
        <w:rPr>
          <w:rFonts w:hint="eastAsia"/>
          <w:bCs/>
          <w:sz w:val="24"/>
        </w:rPr>
        <w:t>为该笔基金份额持有期内累计计算的超额管理费。</w:t>
      </w:r>
    </w:p>
    <w:p w14:paraId="66BE6717" w14:textId="77777777" w:rsidR="009D1ECE" w:rsidRDefault="009D1ECE" w:rsidP="009D1ECE">
      <w:pPr>
        <w:spacing w:line="360" w:lineRule="auto"/>
        <w:ind w:firstLineChars="200" w:firstLine="480"/>
        <w:rPr>
          <w:bCs/>
          <w:sz w:val="24"/>
        </w:rPr>
      </w:pPr>
      <w:r>
        <w:rPr>
          <w:rFonts w:hint="eastAsia"/>
          <w:bCs/>
          <w:sz w:val="24"/>
        </w:rPr>
        <w:t>对于已经确认为管理人收入的或有管理费，经基金管理人与基金托管人双方核对无误后，</w:t>
      </w:r>
      <w:r>
        <w:rPr>
          <w:bCs/>
          <w:sz w:val="24"/>
        </w:rPr>
        <w:t>基金托管人</w:t>
      </w:r>
      <w:r>
        <w:rPr>
          <w:rFonts w:hint="eastAsia"/>
          <w:bCs/>
          <w:sz w:val="24"/>
        </w:rPr>
        <w:t>按照</w:t>
      </w:r>
      <w:r>
        <w:rPr>
          <w:rFonts w:ascii="宋体" w:hAnsi="宋体" w:hint="eastAsia"/>
          <w:sz w:val="24"/>
        </w:rPr>
        <w:t>与基金管理人协商一致的方式</w:t>
      </w:r>
      <w:r>
        <w:rPr>
          <w:rFonts w:hint="eastAsia"/>
          <w:bCs/>
          <w:sz w:val="24"/>
        </w:rPr>
        <w:t>在次月初五个工作日内、按照指定的账户路径进行资金支付。对于已经确认为管理人收入的超额管理费，基金托管人将按照与基金管理人双方协商一致的方式支付给基金管理人。若遇法</w:t>
      </w:r>
      <w:r>
        <w:rPr>
          <w:rFonts w:hint="eastAsia"/>
          <w:bCs/>
          <w:sz w:val="24"/>
        </w:rPr>
        <w:lastRenderedPageBreak/>
        <w:t>定节假日、休息日或不可抗力致使无法按时支付的，支付日期顺延。费用扣划后，基金管理人应进行核对，如发现数据不符，及时联系基金托管人协商解决。</w:t>
      </w:r>
    </w:p>
    <w:p w14:paraId="3185C07D" w14:textId="77777777" w:rsidR="009D1ECE" w:rsidRDefault="009D1ECE" w:rsidP="009D1ECE">
      <w:pPr>
        <w:spacing w:line="360" w:lineRule="auto"/>
        <w:ind w:firstLineChars="200" w:firstLine="480"/>
        <w:rPr>
          <w:bCs/>
          <w:sz w:val="24"/>
        </w:rPr>
      </w:pPr>
      <w:r>
        <w:rPr>
          <w:rFonts w:hint="eastAsia"/>
          <w:bCs/>
          <w:sz w:val="24"/>
        </w:rPr>
        <w:t>因涉及相关数据，基金管理人的或有管理费和超额管理费的计算和复核工作由基金管理人完成，相关信息以注册登记机构计算结果为准，基金托管人不承担复核责任。</w:t>
      </w:r>
    </w:p>
    <w:p w14:paraId="50A38136" w14:textId="5926CD3C" w:rsidR="00353BD1" w:rsidRDefault="009D1ECE">
      <w:pPr>
        <w:adjustRightInd w:val="0"/>
        <w:snapToGrid w:val="0"/>
        <w:spacing w:line="360" w:lineRule="auto"/>
        <w:ind w:firstLineChars="200" w:firstLine="480"/>
        <w:rPr>
          <w:rFonts w:ascii="宋体" w:hAnsi="宋体" w:cs="Arial"/>
          <w:sz w:val="24"/>
        </w:rPr>
      </w:pP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2BA0E2D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（二）基金托管费的计提比例和计提方法</w:t>
      </w:r>
    </w:p>
    <w:p w14:paraId="562B0D0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本基金的托管费按前一日基金资产净值的0.20%的年费率计提。托管费的计算方法如下：</w:t>
      </w:r>
    </w:p>
    <w:p w14:paraId="4C9E89F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H＝E×0.20%÷当年天数</w:t>
      </w:r>
    </w:p>
    <w:p w14:paraId="7920E30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H为每日应计提的基金托管费</w:t>
      </w:r>
    </w:p>
    <w:p w14:paraId="7DB2C39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E为前一日的基金资产净值</w:t>
      </w:r>
    </w:p>
    <w:p w14:paraId="4E0619F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(三）基金销售服务费</w:t>
      </w:r>
    </w:p>
    <w:p w14:paraId="5B1E4BA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 A类基金份额不收取销售服务费，C类基金份额的销售服务费按前一日C类基金份额资产净值的0.50%年费率计提。计算方法如下：</w:t>
      </w:r>
    </w:p>
    <w:p w14:paraId="34483CD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H＝E×0.50%÷当年天数</w:t>
      </w:r>
    </w:p>
    <w:p w14:paraId="5253371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H为C类基金份额每日应计提的销售服务费</w:t>
      </w:r>
    </w:p>
    <w:p w14:paraId="5D7604B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E为C类基金份额前一日基金资产净值</w:t>
      </w:r>
    </w:p>
    <w:p w14:paraId="139EB3C6"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证券账户开户费用、证券、期货、期权等交易费用、因投资港股通标的股票而产生的各项合理费用、基金财产划拨支付的银行费用、账户开户费用和账户维护费用、《基金合同》生效后的信息披露费用、基金份额持有人大会费用、《基金合同》生效后与基金有关的会计师费、律师费</w:t>
      </w:r>
      <w:r>
        <w:rPr>
          <w:rFonts w:asciiTheme="minorEastAsia" w:hAnsiTheme="minorEastAsia" w:cs="Arial" w:hint="eastAsia"/>
          <w:sz w:val="24"/>
        </w:rPr>
        <w:t>、诉讼费和仲裁费</w:t>
      </w:r>
      <w:r>
        <w:rPr>
          <w:rFonts w:ascii="宋体" w:hAnsi="宋体" w:cs="Arial" w:hint="eastAsia"/>
          <w:sz w:val="24"/>
        </w:rPr>
        <w:t>等根据有关法律法规、《基金合同》及相应协议的规定，列入当期基金费用。</w:t>
      </w:r>
    </w:p>
    <w:p w14:paraId="4A63729E"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（五）不列入基金费用的项目</w:t>
      </w:r>
    </w:p>
    <w:p w14:paraId="6431005F"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46E828B5"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（六）基金管理费、基金托管费和销售服务费的调整</w:t>
      </w:r>
    </w:p>
    <w:p w14:paraId="536E8CAE"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基金管理人和基金托管人经履行适当程序后可协商酌情降低基金管理费、基金托管费、销售服务费。基金管理人须按相关规定公告。</w:t>
      </w:r>
    </w:p>
    <w:p w14:paraId="5317E2C0"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（七）基金管理费、基金托管费、销售服务费的复核程序、支付方式和时间</w:t>
      </w:r>
    </w:p>
    <w:p w14:paraId="5662BD0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1.复核程序</w:t>
      </w:r>
    </w:p>
    <w:p w14:paraId="24FAE19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基金托管人对基金管理人计提的基金管理费、基金托管费、销售服务费等，根据本托管协议和《基金合同》的有关规定进行复核。</w:t>
      </w:r>
    </w:p>
    <w:p w14:paraId="47ACC6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2.支付方式和时间</w:t>
      </w:r>
    </w:p>
    <w:p w14:paraId="4A443CE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费、基金托管费、销售服务费每日计提，逐日累计至每月月末，按月支付。由基金托管人根据与基金管理人核对一致的财务数据，按照与基金管理人协商一致的方式在月初5个工作日内、按照指定的账户路径进行资金支付。若遇法定节假日、休息日等，支付日期顺延。</w:t>
      </w:r>
      <w:r>
        <w:rPr>
          <w:rFonts w:hint="eastAsia"/>
          <w:bCs/>
          <w:sz w:val="24"/>
        </w:rPr>
        <w:t>费用扣划后，基金管理人应进行核对，如发现数据不符，及时联系基金托管人协商解决。因涉及相关数据，或有管理费和超额管理费的计算和复核工作由基金管理人完成，相关信息以注册登记机构计算结果为准。基金托管人不承担复核责任。</w:t>
      </w:r>
    </w:p>
    <w:p w14:paraId="550EAF7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14:paraId="2F6F5F1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（八）违规处理方式</w:t>
      </w:r>
    </w:p>
    <w:p w14:paraId="5EA0124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DE92F1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（九）实施侧袋机制期间的基金费用</w:t>
      </w:r>
    </w:p>
    <w:p w14:paraId="35C0594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本基金实施侧袋机制的，与侧袋账户有关的费用可以从侧袋账户中列支，但应待侧袋账户资产变现后方可列支，有关费用可酌情收取或减免，但不得收取基金管理费</w:t>
      </w:r>
      <w:r>
        <w:rPr>
          <w:rFonts w:hint="eastAsia"/>
          <w:bCs/>
          <w:sz w:val="24"/>
        </w:rPr>
        <w:t>（包含固定管理费、或有管理费和超额管理费）</w:t>
      </w:r>
      <w:r>
        <w:rPr>
          <w:rFonts w:ascii="宋体" w:hAnsi="宋体" w:cs="Arial" w:hint="eastAsia"/>
          <w:sz w:val="24"/>
        </w:rPr>
        <w:t>，详见招募说明书的规定。</w:t>
      </w:r>
    </w:p>
    <w:p w14:paraId="2F2DBD0E" w14:textId="77777777" w:rsidR="00353BD1" w:rsidRDefault="00353BD1">
      <w:pPr>
        <w:adjustRightInd w:val="0"/>
        <w:snapToGrid w:val="0"/>
        <w:spacing w:line="360" w:lineRule="auto"/>
        <w:rPr>
          <w:rFonts w:ascii="宋体" w:hAnsi="宋体" w:cs="Arial"/>
          <w:sz w:val="24"/>
        </w:rPr>
      </w:pPr>
    </w:p>
    <w:p w14:paraId="08BA87C6" w14:textId="77777777" w:rsidR="00353BD1" w:rsidRDefault="00064D22">
      <w:pPr>
        <w:pStyle w:val="2"/>
        <w:spacing w:line="360" w:lineRule="auto"/>
        <w:jc w:val="center"/>
        <w:rPr>
          <w:rFonts w:ascii="宋体" w:eastAsia="宋体" w:hAnsi="宋体"/>
          <w:sz w:val="30"/>
        </w:rPr>
      </w:pPr>
      <w:bookmarkStart w:id="104" w:name="_Toc124325896"/>
      <w:r>
        <w:rPr>
          <w:rFonts w:ascii="宋体" w:eastAsia="宋体" w:hAnsi="宋体" w:hint="eastAsia"/>
          <w:sz w:val="30"/>
        </w:rPr>
        <w:lastRenderedPageBreak/>
        <w:t>十二、基金份额持有人名册的保管</w:t>
      </w:r>
      <w:bookmarkEnd w:id="104"/>
    </w:p>
    <w:p w14:paraId="76F7678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0C4CAE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w:t>
      </w:r>
    </w:p>
    <w:p w14:paraId="74CA28AF" w14:textId="77777777" w:rsidR="00353BD1" w:rsidRDefault="00353BD1">
      <w:pPr>
        <w:adjustRightInd w:val="0"/>
        <w:snapToGrid w:val="0"/>
        <w:spacing w:line="360" w:lineRule="auto"/>
        <w:rPr>
          <w:rFonts w:ascii="宋体" w:hAnsi="宋体" w:cs="Arial"/>
          <w:sz w:val="24"/>
        </w:rPr>
      </w:pPr>
    </w:p>
    <w:p w14:paraId="0A87A7EE" w14:textId="77777777" w:rsidR="00353BD1" w:rsidRDefault="00064D22">
      <w:pPr>
        <w:pStyle w:val="2"/>
        <w:spacing w:line="360" w:lineRule="auto"/>
        <w:jc w:val="center"/>
        <w:rPr>
          <w:rFonts w:ascii="宋体" w:eastAsia="宋体" w:hAnsi="宋体"/>
          <w:sz w:val="30"/>
        </w:rPr>
      </w:pPr>
      <w:bookmarkStart w:id="105" w:name="_Toc124325897"/>
      <w:r>
        <w:rPr>
          <w:rFonts w:ascii="宋体" w:eastAsia="宋体" w:hAnsi="宋体" w:hint="eastAsia"/>
          <w:sz w:val="30"/>
        </w:rPr>
        <w:t>十三、基金有关文件档案的保存</w:t>
      </w:r>
      <w:bookmarkEnd w:id="105"/>
    </w:p>
    <w:p w14:paraId="11420DBC"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（一）档案保存</w:t>
      </w:r>
    </w:p>
    <w:p w14:paraId="2E15A89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0FF13A51"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（二）合同档案的建立</w:t>
      </w:r>
    </w:p>
    <w:p w14:paraId="3456F54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1.基金管理人签署重大合同文本后，应及时将合同文本正本送达基金托管人处。</w:t>
      </w:r>
    </w:p>
    <w:p w14:paraId="070C024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2.基金管理人应及时将与本基金账务处理、资金划拨等有关的合同、协议传真基金托管人。</w:t>
      </w:r>
    </w:p>
    <w:p w14:paraId="72BF353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（三）变更与协助</w:t>
      </w:r>
    </w:p>
    <w:p w14:paraId="2C68F192" w14:textId="77777777" w:rsidR="00353BD1" w:rsidRDefault="00064D22">
      <w:pPr>
        <w:adjustRightInd w:val="0"/>
        <w:snapToGrid w:val="0"/>
        <w:spacing w:line="360" w:lineRule="auto"/>
        <w:ind w:firstLineChars="200" w:firstLine="480"/>
        <w:rPr>
          <w:rFonts w:ascii="宋体" w:hAnsi="宋体"/>
          <w:b/>
          <w:bCs/>
          <w:sz w:val="30"/>
          <w:szCs w:val="30"/>
        </w:rPr>
      </w:pPr>
      <w:r>
        <w:rPr>
          <w:rFonts w:ascii="宋体" w:hAnsi="宋体" w:cs="Arial" w:hint="eastAsia"/>
          <w:sz w:val="24"/>
        </w:rPr>
        <w:t>若基金管理人/基金托管人发生变更，未变更的一方有义务协助变更后的接任人接收相应文件。</w:t>
      </w:r>
    </w:p>
    <w:p w14:paraId="5108343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（四）基金管理人和基金托管人应按各自职责完整保存原始凭证、记账凭证、基金账册、交易记录和重要合同等，承担保密义务并保存</w:t>
      </w:r>
      <w:r>
        <w:rPr>
          <w:rFonts w:ascii="宋体" w:hAnsi="宋体" w:hint="eastAsia"/>
          <w:color w:val="000000"/>
        </w:rPr>
        <w:t>不低于</w:t>
      </w:r>
      <w:r>
        <w:rPr>
          <w:rFonts w:ascii="宋体" w:hAnsi="宋体" w:hint="eastAsia"/>
          <w:color w:val="000000"/>
          <w:szCs w:val="21"/>
        </w:rPr>
        <w:t>法律法规规定的最低期限</w:t>
      </w:r>
      <w:r>
        <w:rPr>
          <w:rFonts w:ascii="宋体" w:hAnsi="宋体" w:cs="Arial" w:hint="eastAsia"/>
          <w:sz w:val="24"/>
        </w:rPr>
        <w:t>。</w:t>
      </w:r>
    </w:p>
    <w:p w14:paraId="42C9364B" w14:textId="77777777" w:rsidR="00353BD1" w:rsidRDefault="00353BD1">
      <w:pPr>
        <w:adjustRightInd w:val="0"/>
        <w:snapToGrid w:val="0"/>
        <w:spacing w:line="360" w:lineRule="auto"/>
        <w:rPr>
          <w:rFonts w:ascii="宋体" w:hAnsi="宋体"/>
          <w:sz w:val="30"/>
          <w:szCs w:val="30"/>
        </w:rPr>
      </w:pPr>
    </w:p>
    <w:p w14:paraId="3C34BA2E" w14:textId="77777777" w:rsidR="00353BD1" w:rsidRDefault="00064D22">
      <w:pPr>
        <w:pStyle w:val="2"/>
        <w:spacing w:line="360" w:lineRule="auto"/>
        <w:jc w:val="center"/>
        <w:rPr>
          <w:rFonts w:ascii="宋体" w:eastAsia="宋体" w:hAnsi="宋体"/>
          <w:sz w:val="30"/>
        </w:rPr>
      </w:pPr>
      <w:bookmarkStart w:id="106" w:name="_Toc124325898"/>
      <w:r>
        <w:rPr>
          <w:rFonts w:ascii="宋体" w:eastAsia="宋体" w:hAnsi="宋体" w:hint="eastAsia"/>
          <w:sz w:val="30"/>
        </w:rPr>
        <w:t>十四、基金管理人和基金托管人的更换</w:t>
      </w:r>
      <w:bookmarkEnd w:id="106"/>
    </w:p>
    <w:p w14:paraId="4DD755D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（一）基金管理人职责终止的情形</w:t>
      </w:r>
    </w:p>
    <w:p w14:paraId="590619B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1.基金管理人职责终止的情形</w:t>
      </w:r>
    </w:p>
    <w:p w14:paraId="5A1542D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7CB134B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(1)被依法取消基金管理资格；</w:t>
      </w:r>
    </w:p>
    <w:p w14:paraId="3541880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2E0BA20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0F5480B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37DB154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2.基金管理人的更换程序</w:t>
      </w:r>
    </w:p>
    <w:p w14:paraId="6ACCC12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更换基金管理人必须依照如下程序进行：</w:t>
      </w:r>
    </w:p>
    <w:p w14:paraId="4C1AC60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(1)提名：新任基金管理人由基金托管人</w:t>
      </w:r>
      <w:r>
        <w:rPr>
          <w:rFonts w:ascii="宋体" w:hAnsi="宋体" w:hint="eastAsia"/>
          <w:sz w:val="24"/>
        </w:rPr>
        <w:t>或由单独或合计持有10%以上(含10%)基金份额的基金份额持有人</w:t>
      </w:r>
      <w:r>
        <w:rPr>
          <w:rFonts w:ascii="宋体" w:hAnsi="宋体" w:cs="Arial" w:hint="eastAsia"/>
          <w:sz w:val="24"/>
        </w:rPr>
        <w:t>提名；</w:t>
      </w:r>
    </w:p>
    <w:p w14:paraId="3A2B60F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2D34CC7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(3)临时基金管理人：新任基金管理人产生之前，由中国证监会指定临时基金管理人；</w:t>
      </w:r>
    </w:p>
    <w:p w14:paraId="5D93A83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(4)备案：基金份额持有人大会选任基金管理人的决议须报中国证监会备案；</w:t>
      </w:r>
    </w:p>
    <w:p w14:paraId="04A8794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(5)公告：基金管理人更换后，由基金托管人在更换基金管理人的基金份额持有人大会决议生效后2日内在规定媒介公告；</w:t>
      </w:r>
    </w:p>
    <w:p w14:paraId="4E408C7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净值信息；</w:t>
      </w:r>
    </w:p>
    <w:p w14:paraId="1D590FD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(7)审计：基金管理人职责终止的，应当按照法律法规规定聘请会计师事务所对基金财产进行审计，并将审计结果予以公告，同时报中国证监会备案；</w:t>
      </w:r>
    </w:p>
    <w:p w14:paraId="7CC077F3" w14:textId="77777777" w:rsidR="00353BD1" w:rsidRDefault="00064D22">
      <w:pPr>
        <w:adjustRightInd w:val="0"/>
        <w:snapToGrid w:val="0"/>
        <w:spacing w:line="360" w:lineRule="auto"/>
        <w:ind w:firstLineChars="200" w:firstLine="480"/>
        <w:rPr>
          <w:rFonts w:ascii="宋体" w:hAnsi="宋体"/>
          <w:sz w:val="30"/>
          <w:szCs w:val="30"/>
        </w:rPr>
      </w:pPr>
      <w:r>
        <w:rPr>
          <w:rFonts w:ascii="宋体" w:hAnsi="宋体" w:cs="Arial" w:hint="eastAsia"/>
          <w:sz w:val="24"/>
        </w:rPr>
        <w:t>(8)基金名称变更：基金管理人更换后，如果原任或新任基金管理人要求，应</w:t>
      </w:r>
      <w:r>
        <w:rPr>
          <w:rFonts w:ascii="宋体" w:hAnsi="宋体" w:cs="Arial" w:hint="eastAsia"/>
          <w:sz w:val="24"/>
        </w:rPr>
        <w:lastRenderedPageBreak/>
        <w:t>按其要求替换或删除基金名称中与原基金管理人有关的名称字样。</w:t>
      </w:r>
    </w:p>
    <w:p w14:paraId="7EC699D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（二）基金托管人职责终止的情形</w:t>
      </w:r>
    </w:p>
    <w:p w14:paraId="2409A5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1.基金托管人职责终止的情形</w:t>
      </w:r>
    </w:p>
    <w:p w14:paraId="211B2C7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有下列情形之一的，基金托管人职责终止：</w:t>
      </w:r>
    </w:p>
    <w:p w14:paraId="2A85DF7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(1)被依法取消基金托管资格；</w:t>
      </w:r>
    </w:p>
    <w:p w14:paraId="6CD9E8C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7EC5499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71A4A0A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53B5456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2.基金托管人的更换程序</w:t>
      </w:r>
    </w:p>
    <w:p w14:paraId="6C341C3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(1)提名：新任基金托管人由基金管理人</w:t>
      </w:r>
      <w:r>
        <w:rPr>
          <w:rFonts w:ascii="宋体" w:hAnsi="宋体" w:hint="eastAsia"/>
          <w:sz w:val="24"/>
        </w:rPr>
        <w:t>或由单独或合计持有10%以上(含10%)基金份额的基金份额持有人</w:t>
      </w:r>
      <w:r>
        <w:rPr>
          <w:rFonts w:ascii="宋体" w:hAnsi="宋体" w:cs="Arial" w:hint="eastAsia"/>
          <w:sz w:val="24"/>
        </w:rPr>
        <w:t>提名；</w:t>
      </w:r>
    </w:p>
    <w:p w14:paraId="262B52B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6711A7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(3)临时基金托管人：新任基金托管人产生之前，由中国证监会指定临时基金托管人；</w:t>
      </w:r>
    </w:p>
    <w:p w14:paraId="2B4EE6B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(4)备案：基金份额持有人大会更换基金托管人的决议须报中国证监会备案；</w:t>
      </w:r>
    </w:p>
    <w:p w14:paraId="0CF6CAD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(5)公告：基金托管人更换后，由基金管理人在更换基金托管人的基金份额持有人大会决议生效后 2日内在规定媒介公告；</w:t>
      </w:r>
    </w:p>
    <w:p w14:paraId="72D035F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净值信息；</w:t>
      </w:r>
    </w:p>
    <w:p w14:paraId="38B3A78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(7)审计：基金托管人职责终止的，应当按照法律法规规定聘请会计师事务所对基金财产进行审计，并将审计结果予以公告，同时报中国证监会备案。</w:t>
      </w:r>
    </w:p>
    <w:p w14:paraId="5F2F2C6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（三）基金管理人与基金托管人同时更换的条件和程序</w:t>
      </w:r>
    </w:p>
    <w:p w14:paraId="2FC6578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671800F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2.基金管理人和基金托管人的更换分别按上述程序进行；</w:t>
      </w:r>
    </w:p>
    <w:p w14:paraId="1EEB309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3.公告：新任基金管理人和新任基金托管人应在更换基金管理人和基金托管</w:t>
      </w:r>
      <w:r>
        <w:rPr>
          <w:rFonts w:ascii="宋体" w:hAnsi="宋体" w:cs="Arial" w:hint="eastAsia"/>
          <w:sz w:val="24"/>
        </w:rPr>
        <w:lastRenderedPageBreak/>
        <w:t>人的基金份额持有人大会决议生效后2日内在规定媒介上联合公告。</w:t>
      </w:r>
    </w:p>
    <w:p w14:paraId="3FB5128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和本协议的规定收取基金管理费或基金托管费。</w:t>
      </w:r>
    </w:p>
    <w:p w14:paraId="209401C2" w14:textId="77777777" w:rsidR="00353BD1" w:rsidRDefault="00353BD1">
      <w:pPr>
        <w:adjustRightInd w:val="0"/>
        <w:snapToGrid w:val="0"/>
        <w:spacing w:line="360" w:lineRule="auto"/>
        <w:rPr>
          <w:rFonts w:ascii="宋体" w:hAnsi="宋体" w:cs="Arial"/>
          <w:sz w:val="24"/>
        </w:rPr>
      </w:pPr>
    </w:p>
    <w:p w14:paraId="691444F8" w14:textId="77777777" w:rsidR="00353BD1" w:rsidRDefault="00064D22">
      <w:pPr>
        <w:pStyle w:val="2"/>
        <w:spacing w:line="360" w:lineRule="auto"/>
        <w:jc w:val="center"/>
        <w:rPr>
          <w:rFonts w:ascii="宋体" w:eastAsia="宋体" w:hAnsi="宋体"/>
          <w:sz w:val="30"/>
        </w:rPr>
      </w:pPr>
      <w:bookmarkStart w:id="107" w:name="_Toc124325899"/>
      <w:r>
        <w:rPr>
          <w:rFonts w:ascii="宋体" w:eastAsia="宋体" w:hAnsi="宋体" w:hint="eastAsia"/>
          <w:sz w:val="30"/>
        </w:rPr>
        <w:t>十五、禁止行为</w:t>
      </w:r>
      <w:bookmarkEnd w:id="107"/>
    </w:p>
    <w:p w14:paraId="49A6C199"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本协议当事人禁止从事的行为，包括但不限于：</w:t>
      </w:r>
    </w:p>
    <w:p w14:paraId="1D5DECD1" w14:textId="77777777" w:rsidR="00353BD1" w:rsidRDefault="00064D22">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3752C66C" w14:textId="77777777" w:rsidR="00353BD1" w:rsidRDefault="00064D22">
      <w:pPr>
        <w:spacing w:line="360" w:lineRule="auto"/>
        <w:ind w:firstLineChars="200" w:firstLine="480"/>
        <w:rPr>
          <w:rFonts w:ascii="宋体" w:hAnsi="宋体"/>
        </w:rPr>
      </w:pPr>
      <w:r>
        <w:rPr>
          <w:rFonts w:ascii="宋体" w:hAnsi="宋体" w:hint="eastAsia"/>
          <w:sz w:val="24"/>
        </w:rPr>
        <w:t>（二）基金管理人不公平地对待其管理的不同基金财产，基金托管人不公平地对待其托管的不同基金财产。</w:t>
      </w:r>
    </w:p>
    <w:p w14:paraId="7D92F56C" w14:textId="77777777" w:rsidR="00353BD1" w:rsidRDefault="00064D22">
      <w:pPr>
        <w:spacing w:line="360" w:lineRule="auto"/>
        <w:ind w:firstLineChars="200" w:firstLine="480"/>
        <w:rPr>
          <w:rFonts w:ascii="宋体" w:hAnsi="宋体"/>
          <w:sz w:val="24"/>
        </w:rPr>
      </w:pPr>
      <w:r>
        <w:rPr>
          <w:rFonts w:ascii="宋体" w:hAnsi="宋体" w:hint="eastAsia"/>
          <w:sz w:val="24"/>
        </w:rPr>
        <w:t>（三）基金管理人、基金托管人利用基金财产为基金份额持有人以外的第三人牟取利益。</w:t>
      </w:r>
    </w:p>
    <w:p w14:paraId="09DE286C" w14:textId="77777777" w:rsidR="00353BD1" w:rsidRDefault="00064D22">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2AC17833"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（五）基金管理人、基金托管人对他人泄露基金运作和管理过程中任何尚未按法律法规规定的方式公开披露的信息。</w:t>
      </w:r>
    </w:p>
    <w:p w14:paraId="5B2D0282" w14:textId="77777777" w:rsidR="00353BD1" w:rsidRDefault="00064D22">
      <w:pPr>
        <w:pStyle w:val="a6"/>
        <w:spacing w:line="360" w:lineRule="auto"/>
        <w:outlineLvl w:val="0"/>
        <w:rPr>
          <w:rFonts w:ascii="宋体" w:eastAsia="宋体" w:hAnsi="宋体" w:cs="Arial"/>
          <w:szCs w:val="24"/>
        </w:rPr>
      </w:pPr>
      <w:r>
        <w:rPr>
          <w:rFonts w:ascii="宋体" w:eastAsia="宋体" w:hAnsi="宋体" w:cs="Arial" w:hint="eastAsia"/>
          <w:szCs w:val="24"/>
        </w:rPr>
        <w:t>（六）基金管理人在没有充足资金的情况下向基金托管人发出投资指令和赎回、分红资金的划拨指令，或违规向基金托管人发出指令。</w:t>
      </w:r>
    </w:p>
    <w:p w14:paraId="68C6281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（七）基金管理人、基金托管人在行政上、财务上不独立, 其高级管理人员和其他从业人员相互兼职。</w:t>
      </w:r>
    </w:p>
    <w:p w14:paraId="14FCE5A8" w14:textId="77777777" w:rsidR="00353BD1" w:rsidRDefault="00064D22">
      <w:pPr>
        <w:spacing w:line="360" w:lineRule="auto"/>
        <w:ind w:firstLineChars="200" w:firstLine="480"/>
        <w:rPr>
          <w:rFonts w:ascii="宋体" w:hAnsi="宋体" w:cs="Arial"/>
          <w:sz w:val="24"/>
        </w:rPr>
      </w:pPr>
      <w:r>
        <w:rPr>
          <w:rFonts w:ascii="宋体" w:hAnsi="宋体" w:cs="Arial" w:hint="eastAsia"/>
          <w:sz w:val="24"/>
        </w:rPr>
        <w:t>（八）基金托管人私自动用或处分基金财产，根据基金管理人的有效指令、《基金合同》或托管协议的规定进行处分的除外。</w:t>
      </w:r>
    </w:p>
    <w:p w14:paraId="450315B4" w14:textId="77777777" w:rsidR="00353BD1" w:rsidRDefault="00064D22">
      <w:pPr>
        <w:spacing w:line="360" w:lineRule="auto"/>
        <w:ind w:firstLineChars="200" w:firstLine="480"/>
        <w:rPr>
          <w:rFonts w:ascii="宋体" w:hAnsi="宋体"/>
          <w:sz w:val="24"/>
        </w:rPr>
      </w:pPr>
      <w:r>
        <w:rPr>
          <w:rFonts w:ascii="宋体" w:hAnsi="宋体" w:hint="eastAsia"/>
          <w:sz w:val="24"/>
        </w:rPr>
        <w:t>（九）</w:t>
      </w:r>
      <w:r>
        <w:rPr>
          <w:rFonts w:ascii="宋体" w:hAnsi="宋体" w:cs="Arial" w:hint="eastAsia"/>
          <w:sz w:val="24"/>
        </w:rPr>
        <w:t>基金财产</w:t>
      </w:r>
      <w:r>
        <w:rPr>
          <w:rFonts w:ascii="宋体" w:hAnsi="宋体"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w:t>
      </w:r>
      <w:r>
        <w:rPr>
          <w:rFonts w:ascii="宋体" w:hAnsi="宋体" w:hint="eastAsia"/>
          <w:sz w:val="24"/>
        </w:rPr>
        <w:lastRenderedPageBreak/>
        <w:t>务院证券监督管理机构规定禁止的其他活动。法律法规或监管部门取消上述限制，如适用于本基金，则本基金投资不再受相关限制。</w:t>
      </w:r>
    </w:p>
    <w:p w14:paraId="226472A9" w14:textId="77777777" w:rsidR="00353BD1" w:rsidRDefault="00064D22">
      <w:pPr>
        <w:adjustRightInd w:val="0"/>
        <w:snapToGrid w:val="0"/>
        <w:spacing w:line="360" w:lineRule="auto"/>
        <w:ind w:firstLineChars="200" w:firstLine="480"/>
        <w:outlineLvl w:val="0"/>
        <w:rPr>
          <w:rFonts w:ascii="宋体" w:hAnsi="宋体"/>
          <w:sz w:val="24"/>
        </w:rPr>
      </w:pPr>
      <w:r>
        <w:rPr>
          <w:rFonts w:ascii="宋体" w:hAnsi="宋体" w:hint="eastAsia"/>
          <w:sz w:val="24"/>
        </w:rPr>
        <w:t>（十）法律法规和《基金合同》禁止的其他行为，以及依照法律、行政法规有关规定，由国务院证券监督管理机构规定禁止基金管理人、基金托管人从事的其他行为。</w:t>
      </w:r>
    </w:p>
    <w:p w14:paraId="028F6FD3" w14:textId="77777777" w:rsidR="00353BD1" w:rsidRDefault="00353BD1">
      <w:pPr>
        <w:adjustRightInd w:val="0"/>
        <w:snapToGrid w:val="0"/>
        <w:spacing w:line="360" w:lineRule="auto"/>
        <w:rPr>
          <w:rFonts w:ascii="宋体" w:hAnsi="宋体"/>
          <w:sz w:val="30"/>
          <w:szCs w:val="30"/>
        </w:rPr>
      </w:pPr>
    </w:p>
    <w:p w14:paraId="53C1AE7E" w14:textId="77777777" w:rsidR="00353BD1" w:rsidRDefault="00064D22">
      <w:pPr>
        <w:pStyle w:val="2"/>
        <w:spacing w:line="360" w:lineRule="auto"/>
        <w:jc w:val="center"/>
        <w:rPr>
          <w:rFonts w:ascii="宋体" w:eastAsia="宋体" w:hAnsi="宋体"/>
          <w:sz w:val="30"/>
        </w:rPr>
      </w:pPr>
      <w:bookmarkStart w:id="108" w:name="_Toc124325900"/>
      <w:r>
        <w:rPr>
          <w:rFonts w:ascii="宋体" w:eastAsia="宋体" w:hAnsi="宋体" w:hint="eastAsia"/>
          <w:sz w:val="30"/>
        </w:rPr>
        <w:t>十六、托管协议的变更、终止与基金财产的清算</w:t>
      </w:r>
      <w:bookmarkEnd w:id="108"/>
    </w:p>
    <w:p w14:paraId="4850047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40C95C1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本协议双方当事人经协商一致，可以对协议进行修改。修改后的新协议，其内容不得与《基金合同》的规定有任何冲突。</w:t>
      </w:r>
    </w:p>
    <w:p w14:paraId="07DFDEE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32768B3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08C6EA1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5210120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4D9193C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4.发生法律法规或《基金合同》规定的终止事项。</w:t>
      </w:r>
    </w:p>
    <w:p w14:paraId="64DF1A5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（三）基金财产的清算</w:t>
      </w:r>
    </w:p>
    <w:p w14:paraId="5E01C49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04E0621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2F1F3EB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5CB65EE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5B62BA8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(1)《基金合同》终止情形出现时，由基金财产清算小组统一接管基金；</w:t>
      </w:r>
    </w:p>
    <w:p w14:paraId="7599956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200515D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7E22A96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(4)制作清算报告；</w:t>
      </w:r>
    </w:p>
    <w:p w14:paraId="12C989E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58BCCA8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5DB23B7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19A0145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2D38BB0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6.清算费用</w:t>
      </w:r>
    </w:p>
    <w:p w14:paraId="746BAD3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清算费用是指基金财产清算小组在进行基金清算过程中发生的所有合理费用，清算费用由基金财产清算小组优先从基金财产中支付。</w:t>
      </w:r>
    </w:p>
    <w:p w14:paraId="61E1279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7.基金财产清算剩余资产的分配：</w:t>
      </w:r>
    </w:p>
    <w:p w14:paraId="15B8BB9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14:paraId="6B00C99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8.基金财产清算的公告</w:t>
      </w:r>
    </w:p>
    <w:p w14:paraId="1841D7B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清算过程中的有关重大事项须及时公告；基金财产清算报告经符合《证券法》规定的会计师事务所审计、并由律师事务所出具法律意见书后，报中国证监会备案并公告。基金财产清算小组应当将清算报告登载在规定网站上，并将清算报告提示性公告登载在规定报刊上。</w:t>
      </w:r>
    </w:p>
    <w:p w14:paraId="30FD035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9.基金财产清算账册及文件的保存</w:t>
      </w:r>
    </w:p>
    <w:p w14:paraId="7576BAA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w:t>
      </w:r>
      <w:r>
        <w:rPr>
          <w:rFonts w:ascii="宋体" w:hAnsi="宋体" w:cs="Arial" w:hint="eastAsia"/>
          <w:bCs/>
          <w:sz w:val="24"/>
        </w:rPr>
        <w:t>期限</w:t>
      </w:r>
      <w:r>
        <w:rPr>
          <w:rFonts w:ascii="宋体" w:hAnsi="宋体" w:cs="Arial" w:hint="eastAsia"/>
          <w:sz w:val="24"/>
        </w:rPr>
        <w:t>不低于法律法规规定的最低期限。</w:t>
      </w:r>
    </w:p>
    <w:p w14:paraId="66E2CD5D" w14:textId="77777777" w:rsidR="00353BD1" w:rsidRDefault="00353BD1">
      <w:pPr>
        <w:adjustRightInd w:val="0"/>
        <w:snapToGrid w:val="0"/>
        <w:spacing w:line="360" w:lineRule="auto"/>
        <w:rPr>
          <w:rFonts w:ascii="宋体" w:hAnsi="宋体" w:cs="Arial"/>
          <w:sz w:val="24"/>
        </w:rPr>
      </w:pPr>
    </w:p>
    <w:p w14:paraId="25ED5402" w14:textId="77777777" w:rsidR="00353BD1" w:rsidRDefault="00064D22">
      <w:pPr>
        <w:pStyle w:val="2"/>
        <w:spacing w:line="360" w:lineRule="auto"/>
        <w:jc w:val="center"/>
        <w:rPr>
          <w:rFonts w:ascii="宋体" w:eastAsia="宋体" w:hAnsi="宋体"/>
          <w:sz w:val="30"/>
        </w:rPr>
      </w:pPr>
      <w:bookmarkStart w:id="109" w:name="_Toc124325901"/>
      <w:r>
        <w:rPr>
          <w:rFonts w:ascii="宋体" w:eastAsia="宋体" w:hAnsi="宋体" w:hint="eastAsia"/>
          <w:sz w:val="30"/>
        </w:rPr>
        <w:t>十七、违约责任</w:t>
      </w:r>
      <w:bookmarkEnd w:id="109"/>
    </w:p>
    <w:p w14:paraId="1CBCA7CC"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（一）基金管理人、基金托管人不履行本协议或履行本协议不符合约定的，应当承担违约责任。</w:t>
      </w:r>
    </w:p>
    <w:p w14:paraId="0C7DF323"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（二）基金管理人、基金托管人在履行各自职责的过程中，违反《基金法》或者《基金合同》和本托管协议约定，给基金财产或者基金份额持有人造成损害的，</w:t>
      </w:r>
      <w:r>
        <w:rPr>
          <w:rFonts w:ascii="宋体" w:hAnsi="宋体" w:cs="Arial" w:hint="eastAsia"/>
          <w:sz w:val="24"/>
        </w:rPr>
        <w:lastRenderedPageBreak/>
        <w:t>应当分别对各自的行为依法承担赔偿责任；因共同行为给基金财产或者基金份额持有人造成损害的，应当承担连带赔偿责任，对损失的赔偿，仅限于直接损失。</w:t>
      </w:r>
    </w:p>
    <w:p w14:paraId="56E537C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当事人免责：</w:t>
      </w:r>
    </w:p>
    <w:p w14:paraId="329940E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3C5CC56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2.基金管理人、基金托管人按照当时有效的法律法规或中国证监会的规定作为或不作为而造成的损失等；</w:t>
      </w:r>
    </w:p>
    <w:p w14:paraId="4E0EADB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3.在没有过错的情况下，基金管理人由于按照《基金合同》规定的投资原则投资或不投资造成的直接损失或潜在损失等；</w:t>
      </w:r>
    </w:p>
    <w:p w14:paraId="242ABAB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.非因基金管理人、基金托管人的故意或重大过失造成的计算机系统故障、网络故障、通讯故障、电力故障、计算机病毒攻击及其他意外事故所导致的损失等。</w:t>
      </w:r>
    </w:p>
    <w:p w14:paraId="1648EC2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982B1A"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16BA27E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7E990614" w14:textId="77777777" w:rsidR="00353BD1" w:rsidRDefault="00353BD1">
      <w:pPr>
        <w:adjustRightInd w:val="0"/>
        <w:snapToGrid w:val="0"/>
        <w:spacing w:line="360" w:lineRule="auto"/>
        <w:outlineLvl w:val="0"/>
        <w:rPr>
          <w:rFonts w:ascii="宋体" w:hAnsi="宋体" w:cs="Arial"/>
          <w:sz w:val="24"/>
        </w:rPr>
      </w:pPr>
    </w:p>
    <w:p w14:paraId="4F8B2C91" w14:textId="77777777" w:rsidR="00353BD1" w:rsidRDefault="00064D22">
      <w:pPr>
        <w:pStyle w:val="2"/>
        <w:spacing w:line="360" w:lineRule="auto"/>
        <w:jc w:val="center"/>
        <w:rPr>
          <w:rFonts w:ascii="宋体" w:eastAsia="宋体" w:hAnsi="宋体"/>
          <w:sz w:val="30"/>
        </w:rPr>
      </w:pPr>
      <w:bookmarkStart w:id="110" w:name="_Toc124325902"/>
      <w:r>
        <w:rPr>
          <w:rFonts w:ascii="宋体" w:eastAsia="宋体" w:hAnsi="宋体" w:hint="eastAsia"/>
          <w:sz w:val="30"/>
        </w:rPr>
        <w:t>十八、争议解决方式</w:t>
      </w:r>
      <w:bookmarkEnd w:id="110"/>
    </w:p>
    <w:p w14:paraId="2939A7E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3EAC14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争议处理期间，双方当事人应恪守基金管理人和基金托管人职责，各自继续忠实、勤勉、尽责地履行《基金合同》和本托管协议规定的义务，维护基金份额持有人的合法权益。</w:t>
      </w:r>
    </w:p>
    <w:p w14:paraId="0005866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本协议受中国法律</w:t>
      </w:r>
      <w:r>
        <w:rPr>
          <w:rFonts w:ascii="等线" w:hAnsi="等线"/>
          <w:bCs/>
          <w:sz w:val="24"/>
        </w:rPr>
        <w:t>（</w:t>
      </w:r>
      <w:r>
        <w:rPr>
          <w:rFonts w:ascii="等线" w:hAnsi="等线" w:hint="eastAsia"/>
          <w:bCs/>
          <w:sz w:val="24"/>
        </w:rPr>
        <w:t>仅为本协议之目的，</w:t>
      </w:r>
      <w:r>
        <w:rPr>
          <w:rFonts w:ascii="等线" w:hAnsi="等线"/>
          <w:bCs/>
          <w:sz w:val="24"/>
        </w:rPr>
        <w:t>不包括香港、澳门特别行政区和台湾地区法律）</w:t>
      </w:r>
      <w:r>
        <w:rPr>
          <w:rFonts w:ascii="宋体" w:hAnsi="宋体" w:cs="Arial" w:hint="eastAsia"/>
          <w:sz w:val="24"/>
        </w:rPr>
        <w:t>管辖。</w:t>
      </w:r>
    </w:p>
    <w:p w14:paraId="6F01ED70" w14:textId="77777777" w:rsidR="00353BD1" w:rsidRDefault="00353BD1">
      <w:pPr>
        <w:adjustRightInd w:val="0"/>
        <w:snapToGrid w:val="0"/>
        <w:spacing w:line="360" w:lineRule="auto"/>
        <w:rPr>
          <w:rFonts w:ascii="宋体" w:hAnsi="宋体" w:cs="Arial"/>
          <w:sz w:val="24"/>
        </w:rPr>
      </w:pPr>
    </w:p>
    <w:p w14:paraId="37FEE198" w14:textId="77777777" w:rsidR="00353BD1" w:rsidRDefault="00064D22">
      <w:pPr>
        <w:pStyle w:val="2"/>
        <w:spacing w:line="360" w:lineRule="auto"/>
        <w:jc w:val="center"/>
        <w:rPr>
          <w:rFonts w:ascii="宋体" w:eastAsia="宋体" w:hAnsi="宋体"/>
          <w:sz w:val="30"/>
        </w:rPr>
      </w:pPr>
      <w:bookmarkStart w:id="111" w:name="_Toc124325903"/>
      <w:r>
        <w:rPr>
          <w:rFonts w:ascii="宋体" w:eastAsia="宋体" w:hAnsi="宋体" w:hint="eastAsia"/>
          <w:sz w:val="30"/>
        </w:rPr>
        <w:t>十九、托管协议的效力</w:t>
      </w:r>
      <w:bookmarkEnd w:id="111"/>
    </w:p>
    <w:p w14:paraId="482147E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双方对托管协议的效力约定如下：</w:t>
      </w:r>
    </w:p>
    <w:p w14:paraId="3FCF5D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备案的文本为正式文本。</w:t>
      </w:r>
    </w:p>
    <w:p w14:paraId="113F0A0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3A700DE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77D11CB8" w14:textId="77777777" w:rsidR="00353BD1" w:rsidRDefault="00064D22">
      <w:pPr>
        <w:adjustRightInd w:val="0"/>
        <w:snapToGrid w:val="0"/>
        <w:spacing w:line="360" w:lineRule="auto"/>
        <w:ind w:firstLineChars="200" w:firstLine="480"/>
        <w:rPr>
          <w:rFonts w:ascii="宋体" w:hAnsi="宋体"/>
          <w:sz w:val="30"/>
          <w:szCs w:val="30"/>
        </w:rPr>
      </w:pPr>
      <w:r>
        <w:rPr>
          <w:rFonts w:ascii="宋体" w:hAnsi="宋体" w:cs="Arial" w:hint="eastAsia"/>
          <w:sz w:val="24"/>
        </w:rPr>
        <w:t>（四）本协议一式六份，协议双方各持二份，上报监管机构二份，每份具有同等的法律效力。</w:t>
      </w:r>
    </w:p>
    <w:p w14:paraId="2C47B096" w14:textId="77777777" w:rsidR="00353BD1" w:rsidRDefault="00353BD1">
      <w:pPr>
        <w:adjustRightInd w:val="0"/>
        <w:snapToGrid w:val="0"/>
        <w:spacing w:line="360" w:lineRule="auto"/>
        <w:rPr>
          <w:rFonts w:ascii="宋体" w:hAnsi="宋体" w:cs="Arial"/>
          <w:sz w:val="24"/>
        </w:rPr>
      </w:pPr>
    </w:p>
    <w:p w14:paraId="554E3A24" w14:textId="77777777" w:rsidR="00353BD1" w:rsidRDefault="00064D22">
      <w:pPr>
        <w:pStyle w:val="2"/>
        <w:spacing w:line="360" w:lineRule="auto"/>
        <w:jc w:val="center"/>
        <w:rPr>
          <w:rFonts w:ascii="宋体" w:eastAsia="宋体" w:hAnsi="宋体"/>
          <w:sz w:val="30"/>
        </w:rPr>
      </w:pPr>
      <w:bookmarkStart w:id="112" w:name="_Toc124325904"/>
      <w:r>
        <w:rPr>
          <w:rFonts w:ascii="宋体" w:eastAsia="宋体" w:hAnsi="宋体" w:hint="eastAsia"/>
          <w:sz w:val="30"/>
        </w:rPr>
        <w:t>二十、其他事项</w:t>
      </w:r>
      <w:bookmarkEnd w:id="112"/>
    </w:p>
    <w:p w14:paraId="3519542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27BDB37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339B5DAF" w14:textId="77777777" w:rsidR="00353BD1" w:rsidRDefault="00353BD1">
      <w:pPr>
        <w:adjustRightInd w:val="0"/>
        <w:snapToGrid w:val="0"/>
        <w:spacing w:line="360" w:lineRule="auto"/>
        <w:rPr>
          <w:rFonts w:ascii="宋体" w:hAnsi="宋体"/>
          <w:b/>
          <w:bCs/>
        </w:rPr>
      </w:pPr>
    </w:p>
    <w:p w14:paraId="6A65E0E8" w14:textId="77777777" w:rsidR="00353BD1" w:rsidRDefault="00064D22">
      <w:pPr>
        <w:pStyle w:val="2"/>
        <w:spacing w:line="360" w:lineRule="auto"/>
        <w:jc w:val="center"/>
        <w:rPr>
          <w:rFonts w:ascii="宋体" w:eastAsia="宋体" w:hAnsi="宋体"/>
          <w:sz w:val="30"/>
        </w:rPr>
      </w:pPr>
      <w:bookmarkStart w:id="113" w:name="_Toc124325905"/>
      <w:r>
        <w:rPr>
          <w:rFonts w:ascii="宋体" w:eastAsia="宋体" w:hAnsi="宋体" w:hint="eastAsia"/>
          <w:sz w:val="30"/>
        </w:rPr>
        <w:lastRenderedPageBreak/>
        <w:t>二十一、托管协议的签订</w:t>
      </w:r>
      <w:bookmarkEnd w:id="113"/>
    </w:p>
    <w:p w14:paraId="6172186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本协议双方法定代表人或授权代表签字或盖章并加盖双方公章或合同专用章，并列明签订地、签订日。</w:t>
      </w:r>
    </w:p>
    <w:p w14:paraId="391E6161" w14:textId="77777777" w:rsidR="00353BD1" w:rsidRDefault="00353BD1">
      <w:pPr>
        <w:adjustRightInd w:val="0"/>
        <w:snapToGrid w:val="0"/>
        <w:spacing w:line="360" w:lineRule="auto"/>
        <w:ind w:firstLineChars="200" w:firstLine="480"/>
        <w:rPr>
          <w:rFonts w:ascii="宋体" w:hAnsi="宋体" w:cs="Arial"/>
          <w:sz w:val="24"/>
        </w:rPr>
        <w:sectPr w:rsidR="00353BD1">
          <w:headerReference w:type="default" r:id="rId8"/>
          <w:pgSz w:w="11906" w:h="16838"/>
          <w:pgMar w:top="1418" w:right="1701" w:bottom="1418" w:left="1701" w:header="851" w:footer="992" w:gutter="0"/>
          <w:cols w:space="720"/>
          <w:docGrid w:type="lines" w:linePitch="312"/>
        </w:sectPr>
      </w:pPr>
    </w:p>
    <w:p w14:paraId="5D8A8986" w14:textId="03BBE46C" w:rsidR="00353BD1" w:rsidRDefault="00064D22">
      <w:pPr>
        <w:spacing w:line="360" w:lineRule="auto"/>
        <w:ind w:right="26"/>
        <w:rPr>
          <w:rFonts w:ascii="宋体" w:hAnsi="宋体"/>
          <w:sz w:val="24"/>
        </w:rPr>
      </w:pPr>
      <w:r>
        <w:rPr>
          <w:rFonts w:ascii="宋体" w:hAnsi="宋体" w:hint="eastAsia"/>
          <w:sz w:val="24"/>
        </w:rPr>
        <w:lastRenderedPageBreak/>
        <w:t>本页无正文，为《广发质量优选股票型证券投资基金托管协议》的签字盖章页。</w:t>
      </w:r>
    </w:p>
    <w:p w14:paraId="26CAB7DE" w14:textId="77777777" w:rsidR="00353BD1" w:rsidRDefault="00353BD1">
      <w:pPr>
        <w:spacing w:line="360" w:lineRule="auto"/>
        <w:rPr>
          <w:rFonts w:ascii="宋体" w:hAnsi="宋体"/>
          <w:sz w:val="24"/>
        </w:rPr>
      </w:pPr>
    </w:p>
    <w:p w14:paraId="49FC7F7D" w14:textId="77777777" w:rsidR="00353BD1" w:rsidRDefault="00353BD1">
      <w:pPr>
        <w:spacing w:line="360" w:lineRule="auto"/>
        <w:rPr>
          <w:rFonts w:ascii="宋体" w:hAnsi="宋体"/>
          <w:sz w:val="24"/>
        </w:rPr>
      </w:pPr>
    </w:p>
    <w:p w14:paraId="76B3AEF4" w14:textId="77777777" w:rsidR="00353BD1" w:rsidRDefault="00353BD1">
      <w:pPr>
        <w:spacing w:line="360" w:lineRule="auto"/>
        <w:rPr>
          <w:rFonts w:ascii="宋体" w:hAnsi="宋体"/>
          <w:sz w:val="24"/>
        </w:rPr>
      </w:pPr>
    </w:p>
    <w:p w14:paraId="664BD0F5" w14:textId="77777777" w:rsidR="00353BD1" w:rsidRDefault="00064D22">
      <w:pPr>
        <w:spacing w:line="360" w:lineRule="auto"/>
        <w:ind w:right="26"/>
        <w:rPr>
          <w:rFonts w:ascii="宋体" w:hAnsi="宋体"/>
          <w:sz w:val="24"/>
        </w:rPr>
      </w:pPr>
      <w:r>
        <w:rPr>
          <w:rFonts w:ascii="宋体" w:hAnsi="宋体" w:hint="eastAsia"/>
          <w:sz w:val="24"/>
        </w:rPr>
        <w:t>基金管理人：广发基金管理有限公司（盖章）</w:t>
      </w:r>
    </w:p>
    <w:p w14:paraId="059C2CD6" w14:textId="77777777" w:rsidR="00353BD1" w:rsidRDefault="00353BD1">
      <w:pPr>
        <w:spacing w:line="360" w:lineRule="auto"/>
        <w:ind w:right="26"/>
        <w:rPr>
          <w:rFonts w:ascii="宋体" w:hAnsi="宋体"/>
          <w:sz w:val="24"/>
        </w:rPr>
      </w:pPr>
    </w:p>
    <w:p w14:paraId="5370BB73" w14:textId="77777777" w:rsidR="00353BD1" w:rsidRDefault="00353BD1">
      <w:pPr>
        <w:spacing w:line="360" w:lineRule="auto"/>
        <w:ind w:right="26"/>
        <w:rPr>
          <w:rFonts w:ascii="宋体" w:hAnsi="宋体"/>
          <w:sz w:val="24"/>
        </w:rPr>
      </w:pPr>
    </w:p>
    <w:p w14:paraId="26D3FCFA" w14:textId="77777777" w:rsidR="00353BD1" w:rsidRDefault="00353BD1">
      <w:pPr>
        <w:spacing w:line="360" w:lineRule="auto"/>
        <w:ind w:right="26"/>
        <w:rPr>
          <w:rFonts w:ascii="宋体" w:hAnsi="宋体"/>
          <w:sz w:val="24"/>
        </w:rPr>
      </w:pPr>
    </w:p>
    <w:p w14:paraId="2D9CC043" w14:textId="77777777" w:rsidR="00353BD1" w:rsidRDefault="00353BD1">
      <w:pPr>
        <w:spacing w:line="360" w:lineRule="auto"/>
        <w:ind w:right="26"/>
        <w:rPr>
          <w:rFonts w:ascii="宋体" w:hAnsi="宋体"/>
          <w:sz w:val="24"/>
        </w:rPr>
      </w:pPr>
    </w:p>
    <w:p w14:paraId="7188A214" w14:textId="77777777" w:rsidR="00353BD1" w:rsidRDefault="00064D22">
      <w:pPr>
        <w:spacing w:line="360" w:lineRule="auto"/>
        <w:ind w:right="26"/>
        <w:rPr>
          <w:rFonts w:ascii="宋体" w:hAnsi="宋体"/>
          <w:sz w:val="24"/>
        </w:rPr>
      </w:pPr>
      <w:r>
        <w:rPr>
          <w:rFonts w:ascii="宋体" w:hAnsi="宋体" w:hint="eastAsia"/>
          <w:sz w:val="24"/>
        </w:rPr>
        <w:t xml:space="preserve">法定代表人或授权代表：                   </w:t>
      </w:r>
    </w:p>
    <w:p w14:paraId="21BECE02" w14:textId="77777777" w:rsidR="00353BD1" w:rsidRDefault="00353BD1">
      <w:pPr>
        <w:spacing w:line="360" w:lineRule="auto"/>
        <w:ind w:right="26"/>
        <w:rPr>
          <w:rFonts w:ascii="宋体" w:hAnsi="宋体"/>
          <w:sz w:val="24"/>
        </w:rPr>
      </w:pPr>
    </w:p>
    <w:p w14:paraId="2FF1D634" w14:textId="77777777" w:rsidR="00353BD1" w:rsidRDefault="00353BD1">
      <w:pPr>
        <w:spacing w:line="360" w:lineRule="auto"/>
        <w:ind w:right="26"/>
        <w:rPr>
          <w:rFonts w:ascii="宋体" w:hAnsi="宋体"/>
          <w:sz w:val="24"/>
        </w:rPr>
      </w:pPr>
    </w:p>
    <w:p w14:paraId="6BB35A8F" w14:textId="77777777" w:rsidR="00353BD1" w:rsidRDefault="00353BD1">
      <w:pPr>
        <w:spacing w:line="360" w:lineRule="auto"/>
        <w:ind w:right="26"/>
        <w:rPr>
          <w:rFonts w:ascii="宋体" w:hAnsi="宋体"/>
          <w:sz w:val="24"/>
        </w:rPr>
      </w:pPr>
    </w:p>
    <w:p w14:paraId="5AA61FB3" w14:textId="77777777" w:rsidR="00353BD1" w:rsidRDefault="00353BD1">
      <w:pPr>
        <w:spacing w:line="360" w:lineRule="auto"/>
        <w:ind w:right="26"/>
        <w:rPr>
          <w:rFonts w:ascii="宋体" w:hAnsi="宋体"/>
          <w:sz w:val="24"/>
        </w:rPr>
      </w:pPr>
    </w:p>
    <w:p w14:paraId="321B0AB1" w14:textId="77777777" w:rsidR="00353BD1" w:rsidRDefault="00353BD1">
      <w:pPr>
        <w:spacing w:line="360" w:lineRule="auto"/>
        <w:ind w:right="26"/>
        <w:rPr>
          <w:rFonts w:ascii="宋体" w:hAnsi="宋体"/>
          <w:sz w:val="24"/>
        </w:rPr>
      </w:pPr>
    </w:p>
    <w:p w14:paraId="5275FB05" w14:textId="77777777" w:rsidR="00353BD1" w:rsidRDefault="00064D22">
      <w:pPr>
        <w:spacing w:line="360" w:lineRule="auto"/>
        <w:ind w:right="26"/>
        <w:rPr>
          <w:rFonts w:ascii="宋体" w:hAnsi="宋体"/>
          <w:sz w:val="24"/>
        </w:rPr>
      </w:pPr>
      <w:r>
        <w:rPr>
          <w:rFonts w:ascii="宋体" w:hAnsi="宋体" w:hint="eastAsia"/>
          <w:sz w:val="24"/>
        </w:rPr>
        <w:t>基金托管人：中国建设银行股份有限公司（盖章）</w:t>
      </w:r>
    </w:p>
    <w:p w14:paraId="132BDD0A" w14:textId="77777777" w:rsidR="00353BD1" w:rsidRDefault="00353BD1">
      <w:pPr>
        <w:spacing w:line="360" w:lineRule="auto"/>
        <w:ind w:right="26"/>
        <w:rPr>
          <w:rFonts w:ascii="宋体" w:hAnsi="宋体"/>
          <w:sz w:val="24"/>
        </w:rPr>
      </w:pPr>
    </w:p>
    <w:p w14:paraId="14CB8388" w14:textId="77777777" w:rsidR="00353BD1" w:rsidRDefault="00353BD1">
      <w:pPr>
        <w:spacing w:line="360" w:lineRule="auto"/>
        <w:ind w:right="26"/>
        <w:rPr>
          <w:rFonts w:ascii="宋体" w:hAnsi="宋体"/>
          <w:sz w:val="24"/>
        </w:rPr>
      </w:pPr>
    </w:p>
    <w:p w14:paraId="5E81A30A" w14:textId="77777777" w:rsidR="00353BD1" w:rsidRDefault="00353BD1">
      <w:pPr>
        <w:spacing w:line="360" w:lineRule="auto"/>
        <w:ind w:right="26"/>
        <w:rPr>
          <w:rFonts w:ascii="宋体" w:hAnsi="宋体"/>
          <w:sz w:val="24"/>
        </w:rPr>
      </w:pPr>
    </w:p>
    <w:p w14:paraId="2E589E09" w14:textId="77777777" w:rsidR="00353BD1" w:rsidRDefault="00353BD1">
      <w:pPr>
        <w:spacing w:line="360" w:lineRule="auto"/>
        <w:ind w:right="26"/>
        <w:rPr>
          <w:rFonts w:ascii="宋体" w:hAnsi="宋体"/>
          <w:sz w:val="24"/>
        </w:rPr>
      </w:pPr>
    </w:p>
    <w:p w14:paraId="18B38C39" w14:textId="77777777" w:rsidR="00353BD1" w:rsidRDefault="00064D22">
      <w:pPr>
        <w:spacing w:line="360" w:lineRule="auto"/>
        <w:ind w:right="26"/>
        <w:rPr>
          <w:rFonts w:ascii="宋体" w:hAnsi="宋体"/>
          <w:sz w:val="24"/>
        </w:rPr>
      </w:pPr>
      <w:r>
        <w:rPr>
          <w:rFonts w:ascii="宋体" w:hAnsi="宋体" w:hint="eastAsia"/>
          <w:sz w:val="24"/>
        </w:rPr>
        <w:t xml:space="preserve">法定代表人或授权代表：                   </w:t>
      </w:r>
    </w:p>
    <w:p w14:paraId="3B172F17" w14:textId="77777777" w:rsidR="00353BD1" w:rsidRDefault="00353BD1">
      <w:pPr>
        <w:spacing w:line="360" w:lineRule="auto"/>
        <w:ind w:right="26"/>
        <w:rPr>
          <w:rFonts w:ascii="宋体" w:hAnsi="宋体"/>
          <w:b/>
          <w:sz w:val="24"/>
          <w:szCs w:val="28"/>
        </w:rPr>
      </w:pPr>
    </w:p>
    <w:p w14:paraId="03764AAB" w14:textId="77777777" w:rsidR="00353BD1" w:rsidRDefault="00353BD1">
      <w:pPr>
        <w:spacing w:line="360" w:lineRule="auto"/>
        <w:ind w:right="26"/>
        <w:rPr>
          <w:rFonts w:ascii="宋体" w:hAnsi="宋体"/>
          <w:b/>
          <w:sz w:val="24"/>
          <w:szCs w:val="28"/>
        </w:rPr>
      </w:pPr>
    </w:p>
    <w:p w14:paraId="6C1B3645" w14:textId="77777777" w:rsidR="00353BD1" w:rsidRDefault="00353BD1">
      <w:pPr>
        <w:spacing w:line="360" w:lineRule="auto"/>
        <w:ind w:right="26"/>
        <w:rPr>
          <w:rFonts w:ascii="宋体" w:hAnsi="宋体"/>
          <w:b/>
          <w:sz w:val="24"/>
          <w:szCs w:val="28"/>
        </w:rPr>
      </w:pPr>
    </w:p>
    <w:p w14:paraId="6AFDDF16" w14:textId="77777777" w:rsidR="00353BD1" w:rsidRDefault="00064D22">
      <w:pPr>
        <w:spacing w:line="360" w:lineRule="auto"/>
        <w:ind w:right="26"/>
        <w:rPr>
          <w:rFonts w:ascii="宋体" w:hAnsi="宋体"/>
          <w:b/>
          <w:sz w:val="24"/>
          <w:szCs w:val="28"/>
        </w:rPr>
      </w:pPr>
      <w:r>
        <w:rPr>
          <w:rFonts w:ascii="宋体" w:hAnsi="宋体" w:hint="eastAsia"/>
          <w:b/>
          <w:sz w:val="24"/>
          <w:szCs w:val="28"/>
        </w:rPr>
        <w:t>签订地点：北京</w:t>
      </w:r>
    </w:p>
    <w:p w14:paraId="28645018" w14:textId="77777777" w:rsidR="00353BD1" w:rsidRDefault="00064D22">
      <w:pPr>
        <w:spacing w:line="360" w:lineRule="auto"/>
        <w:ind w:right="26"/>
        <w:rPr>
          <w:rFonts w:ascii="宋体" w:hAnsi="宋体"/>
          <w:b/>
          <w:sz w:val="24"/>
          <w:szCs w:val="28"/>
        </w:rPr>
      </w:pPr>
      <w:r>
        <w:rPr>
          <w:rFonts w:ascii="宋体" w:hAnsi="宋体" w:hint="eastAsia"/>
          <w:b/>
          <w:sz w:val="24"/>
          <w:szCs w:val="28"/>
        </w:rPr>
        <w:t>签 订 日：二零二</w:t>
      </w:r>
      <w:r>
        <w:rPr>
          <w:rFonts w:ascii="宋体" w:hAnsi="宋体" w:cs="宋体" w:hint="eastAsia"/>
          <w:b/>
          <w:sz w:val="24"/>
          <w:szCs w:val="28"/>
        </w:rPr>
        <w:t xml:space="preserve">  </w:t>
      </w:r>
      <w:r>
        <w:rPr>
          <w:rFonts w:ascii="宋体" w:hAnsi="宋体" w:hint="eastAsia"/>
          <w:b/>
          <w:sz w:val="24"/>
          <w:szCs w:val="28"/>
        </w:rPr>
        <w:t>年</w:t>
      </w:r>
      <w:r>
        <w:rPr>
          <w:rFonts w:ascii="宋体" w:hAnsi="宋体" w:cs="宋体" w:hint="eastAsia"/>
          <w:b/>
          <w:sz w:val="24"/>
          <w:szCs w:val="28"/>
        </w:rPr>
        <w:t xml:space="preserve">   </w:t>
      </w:r>
      <w:r>
        <w:rPr>
          <w:rFonts w:ascii="宋体" w:hAnsi="宋体" w:hint="eastAsia"/>
          <w:b/>
          <w:sz w:val="24"/>
          <w:szCs w:val="28"/>
        </w:rPr>
        <w:t>月</w:t>
      </w:r>
      <w:r>
        <w:rPr>
          <w:rFonts w:ascii="宋体" w:hAnsi="宋体" w:cs="宋体" w:hint="eastAsia"/>
          <w:b/>
          <w:sz w:val="24"/>
          <w:szCs w:val="28"/>
        </w:rPr>
        <w:t xml:space="preserve">   </w:t>
      </w:r>
      <w:r>
        <w:rPr>
          <w:rFonts w:ascii="宋体" w:hAnsi="宋体" w:hint="eastAsia"/>
          <w:b/>
          <w:sz w:val="24"/>
          <w:szCs w:val="28"/>
        </w:rPr>
        <w:t>日</w:t>
      </w:r>
    </w:p>
    <w:p w14:paraId="2B61815C" w14:textId="77777777" w:rsidR="00353BD1" w:rsidRDefault="00353BD1">
      <w:pPr>
        <w:adjustRightInd w:val="0"/>
        <w:snapToGrid w:val="0"/>
        <w:spacing w:line="360" w:lineRule="auto"/>
        <w:rPr>
          <w:rFonts w:ascii="宋体" w:hAnsi="宋体" w:cs="Arial"/>
          <w:sz w:val="24"/>
        </w:rPr>
      </w:pPr>
    </w:p>
    <w:p w14:paraId="56AC7BB0" w14:textId="77777777" w:rsidR="00353BD1" w:rsidRDefault="00353BD1">
      <w:pPr>
        <w:spacing w:line="360" w:lineRule="auto"/>
        <w:rPr>
          <w:rFonts w:ascii="宋体" w:hAnsi="宋体"/>
        </w:rPr>
      </w:pPr>
    </w:p>
    <w:sectPr w:rsidR="00353BD1">
      <w:headerReference w:type="default" r:id="rId9"/>
      <w:footerReference w:type="default" r:id="rId10"/>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928F5" w14:textId="77777777" w:rsidR="001B538E" w:rsidRDefault="001B538E">
      <w:r>
        <w:separator/>
      </w:r>
    </w:p>
  </w:endnote>
  <w:endnote w:type="continuationSeparator" w:id="0">
    <w:p w14:paraId="3B53B3FE" w14:textId="77777777" w:rsidR="001B538E" w:rsidRDefault="001B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338F" w14:textId="77777777" w:rsidR="00353BD1" w:rsidRDefault="00064D22">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42</w:t>
    </w:r>
    <w:r>
      <w:rPr>
        <w:rStyle w:val="af"/>
      </w:rPr>
      <w:fldChar w:fldCharType="end"/>
    </w:r>
  </w:p>
  <w:p w14:paraId="5813DE86" w14:textId="77777777" w:rsidR="00353BD1" w:rsidRDefault="00353B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432C" w14:textId="1F2AE80C" w:rsidR="00353BD1" w:rsidRDefault="00064D22">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D3062">
      <w:rPr>
        <w:rStyle w:val="af"/>
        <w:noProof/>
      </w:rPr>
      <w:t>2</w:t>
    </w:r>
    <w:r>
      <w:rPr>
        <w:rStyle w:val="af"/>
      </w:rPr>
      <w:fldChar w:fldCharType="end"/>
    </w:r>
  </w:p>
  <w:p w14:paraId="0BAACE4C" w14:textId="77777777" w:rsidR="00353BD1" w:rsidRDefault="00353BD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A8F7" w14:textId="77777777" w:rsidR="00353BD1" w:rsidRDefault="00353B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7953" w14:textId="77777777" w:rsidR="001B538E" w:rsidRDefault="001B538E">
      <w:r>
        <w:separator/>
      </w:r>
    </w:p>
  </w:footnote>
  <w:footnote w:type="continuationSeparator" w:id="0">
    <w:p w14:paraId="0149BAD5" w14:textId="77777777" w:rsidR="001B538E" w:rsidRDefault="001B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25D6" w14:textId="566B1A24" w:rsidR="00353BD1" w:rsidRDefault="00064D22">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C7D25" w14:textId="56B48E39" w:rsidR="00353BD1" w:rsidRDefault="00064D22">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24F9"/>
    <w:rsid w:val="000106E8"/>
    <w:rsid w:val="00025EBB"/>
    <w:rsid w:val="000303E0"/>
    <w:rsid w:val="00033697"/>
    <w:rsid w:val="00040F5C"/>
    <w:rsid w:val="00043538"/>
    <w:rsid w:val="00052DD1"/>
    <w:rsid w:val="00055B8E"/>
    <w:rsid w:val="00064D22"/>
    <w:rsid w:val="000662BB"/>
    <w:rsid w:val="000734C2"/>
    <w:rsid w:val="000836E4"/>
    <w:rsid w:val="000841AB"/>
    <w:rsid w:val="00085734"/>
    <w:rsid w:val="0009125B"/>
    <w:rsid w:val="00092B02"/>
    <w:rsid w:val="00092D0E"/>
    <w:rsid w:val="000A0BA6"/>
    <w:rsid w:val="000A0DC9"/>
    <w:rsid w:val="000A6320"/>
    <w:rsid w:val="000A6C25"/>
    <w:rsid w:val="000A7B1C"/>
    <w:rsid w:val="000B2CE6"/>
    <w:rsid w:val="000B6015"/>
    <w:rsid w:val="000B6BF5"/>
    <w:rsid w:val="000C0991"/>
    <w:rsid w:val="000C1DB4"/>
    <w:rsid w:val="000D3062"/>
    <w:rsid w:val="000D4B45"/>
    <w:rsid w:val="000F0982"/>
    <w:rsid w:val="000F5ED3"/>
    <w:rsid w:val="00100B98"/>
    <w:rsid w:val="0010767C"/>
    <w:rsid w:val="001115B3"/>
    <w:rsid w:val="001125C9"/>
    <w:rsid w:val="00132C6D"/>
    <w:rsid w:val="00135594"/>
    <w:rsid w:val="0014099C"/>
    <w:rsid w:val="0015074B"/>
    <w:rsid w:val="00184EA2"/>
    <w:rsid w:val="0018537F"/>
    <w:rsid w:val="001940A0"/>
    <w:rsid w:val="00197230"/>
    <w:rsid w:val="001A3B29"/>
    <w:rsid w:val="001A49E4"/>
    <w:rsid w:val="001B538E"/>
    <w:rsid w:val="001C05A5"/>
    <w:rsid w:val="001C7D61"/>
    <w:rsid w:val="001D76FC"/>
    <w:rsid w:val="001F0793"/>
    <w:rsid w:val="002003A2"/>
    <w:rsid w:val="002034B0"/>
    <w:rsid w:val="00212970"/>
    <w:rsid w:val="002173F8"/>
    <w:rsid w:val="00227208"/>
    <w:rsid w:val="00230FA1"/>
    <w:rsid w:val="00232A1C"/>
    <w:rsid w:val="002358C1"/>
    <w:rsid w:val="00251A06"/>
    <w:rsid w:val="002641D1"/>
    <w:rsid w:val="002675F3"/>
    <w:rsid w:val="002733AC"/>
    <w:rsid w:val="00273960"/>
    <w:rsid w:val="00274EA9"/>
    <w:rsid w:val="0028148E"/>
    <w:rsid w:val="002825A4"/>
    <w:rsid w:val="0028293D"/>
    <w:rsid w:val="002A0A0C"/>
    <w:rsid w:val="002B1089"/>
    <w:rsid w:val="002B4247"/>
    <w:rsid w:val="002B5BE9"/>
    <w:rsid w:val="002C0D68"/>
    <w:rsid w:val="002C49A9"/>
    <w:rsid w:val="002D5DBF"/>
    <w:rsid w:val="002D640A"/>
    <w:rsid w:val="00303FBE"/>
    <w:rsid w:val="00320784"/>
    <w:rsid w:val="00325859"/>
    <w:rsid w:val="00353BD1"/>
    <w:rsid w:val="00361048"/>
    <w:rsid w:val="003611B9"/>
    <w:rsid w:val="00363BA7"/>
    <w:rsid w:val="0037368E"/>
    <w:rsid w:val="003751D1"/>
    <w:rsid w:val="00383FBF"/>
    <w:rsid w:val="0039110D"/>
    <w:rsid w:val="003946DD"/>
    <w:rsid w:val="003A4EEC"/>
    <w:rsid w:val="003A7025"/>
    <w:rsid w:val="003B1C14"/>
    <w:rsid w:val="003B46F9"/>
    <w:rsid w:val="003B7E82"/>
    <w:rsid w:val="003D2A48"/>
    <w:rsid w:val="003E1E8E"/>
    <w:rsid w:val="003F0D6B"/>
    <w:rsid w:val="00401831"/>
    <w:rsid w:val="004045F9"/>
    <w:rsid w:val="004070BF"/>
    <w:rsid w:val="004103A2"/>
    <w:rsid w:val="00412734"/>
    <w:rsid w:val="00415F65"/>
    <w:rsid w:val="00433C78"/>
    <w:rsid w:val="0043423D"/>
    <w:rsid w:val="004404ED"/>
    <w:rsid w:val="00450BD6"/>
    <w:rsid w:val="004569BE"/>
    <w:rsid w:val="004606C9"/>
    <w:rsid w:val="00465034"/>
    <w:rsid w:val="0046683C"/>
    <w:rsid w:val="004675E8"/>
    <w:rsid w:val="00470D80"/>
    <w:rsid w:val="00472D5F"/>
    <w:rsid w:val="0047762F"/>
    <w:rsid w:val="004820FE"/>
    <w:rsid w:val="004A1E71"/>
    <w:rsid w:val="004A2465"/>
    <w:rsid w:val="004A6368"/>
    <w:rsid w:val="004B3796"/>
    <w:rsid w:val="004C1330"/>
    <w:rsid w:val="004C19B4"/>
    <w:rsid w:val="004C1CF8"/>
    <w:rsid w:val="004D20B1"/>
    <w:rsid w:val="004E101D"/>
    <w:rsid w:val="004E25EB"/>
    <w:rsid w:val="004E52EF"/>
    <w:rsid w:val="004E6F8A"/>
    <w:rsid w:val="0050027A"/>
    <w:rsid w:val="00501CF4"/>
    <w:rsid w:val="005050A3"/>
    <w:rsid w:val="005050BE"/>
    <w:rsid w:val="0050594B"/>
    <w:rsid w:val="00510EBA"/>
    <w:rsid w:val="00513DBB"/>
    <w:rsid w:val="00532E2A"/>
    <w:rsid w:val="00542BD6"/>
    <w:rsid w:val="0054440A"/>
    <w:rsid w:val="005500B0"/>
    <w:rsid w:val="00580061"/>
    <w:rsid w:val="00591EB4"/>
    <w:rsid w:val="00593605"/>
    <w:rsid w:val="0059405A"/>
    <w:rsid w:val="005A2446"/>
    <w:rsid w:val="005B7AA2"/>
    <w:rsid w:val="005C606F"/>
    <w:rsid w:val="005D129B"/>
    <w:rsid w:val="005D1CF0"/>
    <w:rsid w:val="005D2018"/>
    <w:rsid w:val="005D6A9F"/>
    <w:rsid w:val="005D71F6"/>
    <w:rsid w:val="005E17DA"/>
    <w:rsid w:val="005E33FE"/>
    <w:rsid w:val="005E654C"/>
    <w:rsid w:val="005E7D65"/>
    <w:rsid w:val="005F1CE9"/>
    <w:rsid w:val="005F3A20"/>
    <w:rsid w:val="005F4C60"/>
    <w:rsid w:val="0060300C"/>
    <w:rsid w:val="006126F0"/>
    <w:rsid w:val="00614F24"/>
    <w:rsid w:val="00616CEF"/>
    <w:rsid w:val="006246F3"/>
    <w:rsid w:val="00626EC3"/>
    <w:rsid w:val="00634F7C"/>
    <w:rsid w:val="0063571B"/>
    <w:rsid w:val="006358B1"/>
    <w:rsid w:val="006414B2"/>
    <w:rsid w:val="00642A8A"/>
    <w:rsid w:val="00645DC7"/>
    <w:rsid w:val="00654841"/>
    <w:rsid w:val="0065627F"/>
    <w:rsid w:val="00661CA3"/>
    <w:rsid w:val="006753D7"/>
    <w:rsid w:val="00676E2E"/>
    <w:rsid w:val="0068629F"/>
    <w:rsid w:val="00687CD1"/>
    <w:rsid w:val="00691732"/>
    <w:rsid w:val="006A5F59"/>
    <w:rsid w:val="006B13D5"/>
    <w:rsid w:val="006B4273"/>
    <w:rsid w:val="006C3354"/>
    <w:rsid w:val="006D0EA5"/>
    <w:rsid w:val="006D4447"/>
    <w:rsid w:val="006E5EFC"/>
    <w:rsid w:val="006E6C04"/>
    <w:rsid w:val="006E7C25"/>
    <w:rsid w:val="006F779C"/>
    <w:rsid w:val="00703887"/>
    <w:rsid w:val="00706656"/>
    <w:rsid w:val="00710218"/>
    <w:rsid w:val="0072261C"/>
    <w:rsid w:val="00726310"/>
    <w:rsid w:val="00734FDC"/>
    <w:rsid w:val="0073607B"/>
    <w:rsid w:val="0074065C"/>
    <w:rsid w:val="0075591A"/>
    <w:rsid w:val="00755C13"/>
    <w:rsid w:val="00765ED3"/>
    <w:rsid w:val="007667E8"/>
    <w:rsid w:val="007721C3"/>
    <w:rsid w:val="00774793"/>
    <w:rsid w:val="007748AD"/>
    <w:rsid w:val="00775F3A"/>
    <w:rsid w:val="0078544F"/>
    <w:rsid w:val="00790D2C"/>
    <w:rsid w:val="00795194"/>
    <w:rsid w:val="00796D6A"/>
    <w:rsid w:val="007A5C83"/>
    <w:rsid w:val="007C268E"/>
    <w:rsid w:val="007D6157"/>
    <w:rsid w:val="007E23D0"/>
    <w:rsid w:val="007F3D68"/>
    <w:rsid w:val="007F619B"/>
    <w:rsid w:val="007F62F9"/>
    <w:rsid w:val="0080732A"/>
    <w:rsid w:val="008121F7"/>
    <w:rsid w:val="00814A7F"/>
    <w:rsid w:val="00816B6A"/>
    <w:rsid w:val="00820193"/>
    <w:rsid w:val="00820591"/>
    <w:rsid w:val="008236A5"/>
    <w:rsid w:val="0083046C"/>
    <w:rsid w:val="008346A1"/>
    <w:rsid w:val="008350E5"/>
    <w:rsid w:val="008354CD"/>
    <w:rsid w:val="00837402"/>
    <w:rsid w:val="0084553F"/>
    <w:rsid w:val="0084614A"/>
    <w:rsid w:val="00847DD3"/>
    <w:rsid w:val="00850426"/>
    <w:rsid w:val="00852205"/>
    <w:rsid w:val="008547B4"/>
    <w:rsid w:val="0085689A"/>
    <w:rsid w:val="00860DC1"/>
    <w:rsid w:val="008675B8"/>
    <w:rsid w:val="0087125E"/>
    <w:rsid w:val="00872089"/>
    <w:rsid w:val="00875BA4"/>
    <w:rsid w:val="008830A6"/>
    <w:rsid w:val="008A1CEC"/>
    <w:rsid w:val="008B112F"/>
    <w:rsid w:val="008C0954"/>
    <w:rsid w:val="008C0AC9"/>
    <w:rsid w:val="008C288B"/>
    <w:rsid w:val="008C53D3"/>
    <w:rsid w:val="008E0BAD"/>
    <w:rsid w:val="008E2099"/>
    <w:rsid w:val="008F08D7"/>
    <w:rsid w:val="008F23A8"/>
    <w:rsid w:val="00906B21"/>
    <w:rsid w:val="00912F8C"/>
    <w:rsid w:val="0091304D"/>
    <w:rsid w:val="00915071"/>
    <w:rsid w:val="0091596D"/>
    <w:rsid w:val="0091716E"/>
    <w:rsid w:val="009204E9"/>
    <w:rsid w:val="00927782"/>
    <w:rsid w:val="00934AF7"/>
    <w:rsid w:val="00935217"/>
    <w:rsid w:val="0093578F"/>
    <w:rsid w:val="00940507"/>
    <w:rsid w:val="009428F5"/>
    <w:rsid w:val="00953FA5"/>
    <w:rsid w:val="00976406"/>
    <w:rsid w:val="009768C4"/>
    <w:rsid w:val="00981311"/>
    <w:rsid w:val="00984D18"/>
    <w:rsid w:val="00991CCD"/>
    <w:rsid w:val="009A0D80"/>
    <w:rsid w:val="009A47DD"/>
    <w:rsid w:val="009B16A7"/>
    <w:rsid w:val="009C12A1"/>
    <w:rsid w:val="009C6E25"/>
    <w:rsid w:val="009D1ECE"/>
    <w:rsid w:val="009D60E2"/>
    <w:rsid w:val="009D76C4"/>
    <w:rsid w:val="009E2CC7"/>
    <w:rsid w:val="009F2F01"/>
    <w:rsid w:val="009F384A"/>
    <w:rsid w:val="009F59DC"/>
    <w:rsid w:val="00A018D7"/>
    <w:rsid w:val="00A02B86"/>
    <w:rsid w:val="00A123EA"/>
    <w:rsid w:val="00A15A53"/>
    <w:rsid w:val="00A177E3"/>
    <w:rsid w:val="00A21157"/>
    <w:rsid w:val="00A21EDE"/>
    <w:rsid w:val="00A2272D"/>
    <w:rsid w:val="00A24D34"/>
    <w:rsid w:val="00A24F7D"/>
    <w:rsid w:val="00A252B9"/>
    <w:rsid w:val="00A262F2"/>
    <w:rsid w:val="00A30ECF"/>
    <w:rsid w:val="00A32818"/>
    <w:rsid w:val="00A36003"/>
    <w:rsid w:val="00A44E96"/>
    <w:rsid w:val="00A6029A"/>
    <w:rsid w:val="00A606FD"/>
    <w:rsid w:val="00A65DD8"/>
    <w:rsid w:val="00A72217"/>
    <w:rsid w:val="00A7255A"/>
    <w:rsid w:val="00A74063"/>
    <w:rsid w:val="00A74228"/>
    <w:rsid w:val="00A82D35"/>
    <w:rsid w:val="00A83C38"/>
    <w:rsid w:val="00A843F4"/>
    <w:rsid w:val="00A8441F"/>
    <w:rsid w:val="00A875F7"/>
    <w:rsid w:val="00A936A1"/>
    <w:rsid w:val="00A965E8"/>
    <w:rsid w:val="00A976C3"/>
    <w:rsid w:val="00AB1BE8"/>
    <w:rsid w:val="00AB22F2"/>
    <w:rsid w:val="00AB23A9"/>
    <w:rsid w:val="00AB29B7"/>
    <w:rsid w:val="00AC2F84"/>
    <w:rsid w:val="00AD1C13"/>
    <w:rsid w:val="00AD21CA"/>
    <w:rsid w:val="00AF3F5A"/>
    <w:rsid w:val="00AF40D0"/>
    <w:rsid w:val="00AF56E4"/>
    <w:rsid w:val="00B069F6"/>
    <w:rsid w:val="00B14F0A"/>
    <w:rsid w:val="00B23F38"/>
    <w:rsid w:val="00B2400F"/>
    <w:rsid w:val="00B34E98"/>
    <w:rsid w:val="00B34FD6"/>
    <w:rsid w:val="00B420FA"/>
    <w:rsid w:val="00B51686"/>
    <w:rsid w:val="00B52A7B"/>
    <w:rsid w:val="00B53BDB"/>
    <w:rsid w:val="00B629DF"/>
    <w:rsid w:val="00B649FE"/>
    <w:rsid w:val="00B747BD"/>
    <w:rsid w:val="00B778DE"/>
    <w:rsid w:val="00B77E96"/>
    <w:rsid w:val="00B8225A"/>
    <w:rsid w:val="00B84672"/>
    <w:rsid w:val="00B876E3"/>
    <w:rsid w:val="00B9408B"/>
    <w:rsid w:val="00BA1396"/>
    <w:rsid w:val="00BA24F2"/>
    <w:rsid w:val="00BA27AF"/>
    <w:rsid w:val="00BA6047"/>
    <w:rsid w:val="00BB1209"/>
    <w:rsid w:val="00BC408F"/>
    <w:rsid w:val="00BC43DE"/>
    <w:rsid w:val="00BD039F"/>
    <w:rsid w:val="00BD11C6"/>
    <w:rsid w:val="00BD1268"/>
    <w:rsid w:val="00BD587D"/>
    <w:rsid w:val="00BD6BC7"/>
    <w:rsid w:val="00BE3E42"/>
    <w:rsid w:val="00BE5076"/>
    <w:rsid w:val="00BF0ADF"/>
    <w:rsid w:val="00BF1608"/>
    <w:rsid w:val="00BF7A74"/>
    <w:rsid w:val="00C11B14"/>
    <w:rsid w:val="00C127A4"/>
    <w:rsid w:val="00C166BF"/>
    <w:rsid w:val="00C16971"/>
    <w:rsid w:val="00C25C70"/>
    <w:rsid w:val="00C31647"/>
    <w:rsid w:val="00C5268F"/>
    <w:rsid w:val="00C52B29"/>
    <w:rsid w:val="00C56EEA"/>
    <w:rsid w:val="00C6220C"/>
    <w:rsid w:val="00C63E51"/>
    <w:rsid w:val="00C73F74"/>
    <w:rsid w:val="00C803D7"/>
    <w:rsid w:val="00C8374D"/>
    <w:rsid w:val="00C86A79"/>
    <w:rsid w:val="00C8703E"/>
    <w:rsid w:val="00C90423"/>
    <w:rsid w:val="00C914E3"/>
    <w:rsid w:val="00C92E3C"/>
    <w:rsid w:val="00CC046F"/>
    <w:rsid w:val="00CC3980"/>
    <w:rsid w:val="00CC471E"/>
    <w:rsid w:val="00CC4D9B"/>
    <w:rsid w:val="00CD6844"/>
    <w:rsid w:val="00CD75A2"/>
    <w:rsid w:val="00CE1EC6"/>
    <w:rsid w:val="00CF6ACE"/>
    <w:rsid w:val="00D00251"/>
    <w:rsid w:val="00D02041"/>
    <w:rsid w:val="00D068F3"/>
    <w:rsid w:val="00D06C7F"/>
    <w:rsid w:val="00D113D5"/>
    <w:rsid w:val="00D1676A"/>
    <w:rsid w:val="00D24517"/>
    <w:rsid w:val="00D25BFB"/>
    <w:rsid w:val="00D318C1"/>
    <w:rsid w:val="00D33B26"/>
    <w:rsid w:val="00D33B2F"/>
    <w:rsid w:val="00D37EB8"/>
    <w:rsid w:val="00D53A68"/>
    <w:rsid w:val="00D561E3"/>
    <w:rsid w:val="00D64C37"/>
    <w:rsid w:val="00D654BA"/>
    <w:rsid w:val="00D65C0B"/>
    <w:rsid w:val="00D83EAA"/>
    <w:rsid w:val="00D86008"/>
    <w:rsid w:val="00D87A49"/>
    <w:rsid w:val="00D91570"/>
    <w:rsid w:val="00D92327"/>
    <w:rsid w:val="00D92AF5"/>
    <w:rsid w:val="00D94781"/>
    <w:rsid w:val="00D976A5"/>
    <w:rsid w:val="00D97B38"/>
    <w:rsid w:val="00DA05A2"/>
    <w:rsid w:val="00DA0D37"/>
    <w:rsid w:val="00DA356F"/>
    <w:rsid w:val="00DA48BB"/>
    <w:rsid w:val="00DB1C9C"/>
    <w:rsid w:val="00DB37BB"/>
    <w:rsid w:val="00DC34F5"/>
    <w:rsid w:val="00DC3B6B"/>
    <w:rsid w:val="00DD1549"/>
    <w:rsid w:val="00DD4E54"/>
    <w:rsid w:val="00DD6CE1"/>
    <w:rsid w:val="00DE0E6F"/>
    <w:rsid w:val="00DF1B07"/>
    <w:rsid w:val="00DF2E52"/>
    <w:rsid w:val="00DF3A43"/>
    <w:rsid w:val="00DF68BF"/>
    <w:rsid w:val="00E05376"/>
    <w:rsid w:val="00E05F79"/>
    <w:rsid w:val="00E10C87"/>
    <w:rsid w:val="00E17A63"/>
    <w:rsid w:val="00E17D3C"/>
    <w:rsid w:val="00E26940"/>
    <w:rsid w:val="00E2728F"/>
    <w:rsid w:val="00E356F6"/>
    <w:rsid w:val="00E504E2"/>
    <w:rsid w:val="00E50B4E"/>
    <w:rsid w:val="00E538B1"/>
    <w:rsid w:val="00E53946"/>
    <w:rsid w:val="00E54677"/>
    <w:rsid w:val="00E547E1"/>
    <w:rsid w:val="00E66576"/>
    <w:rsid w:val="00E74135"/>
    <w:rsid w:val="00E937EB"/>
    <w:rsid w:val="00EA159F"/>
    <w:rsid w:val="00EA2E84"/>
    <w:rsid w:val="00EA3141"/>
    <w:rsid w:val="00EA6276"/>
    <w:rsid w:val="00EA773B"/>
    <w:rsid w:val="00EB4102"/>
    <w:rsid w:val="00EC1FA8"/>
    <w:rsid w:val="00EC2B4D"/>
    <w:rsid w:val="00EC2E22"/>
    <w:rsid w:val="00EC5CDF"/>
    <w:rsid w:val="00ED5708"/>
    <w:rsid w:val="00ED6657"/>
    <w:rsid w:val="00EE2BE5"/>
    <w:rsid w:val="00EF043F"/>
    <w:rsid w:val="00EF5CF7"/>
    <w:rsid w:val="00F078D6"/>
    <w:rsid w:val="00F1170D"/>
    <w:rsid w:val="00F139E0"/>
    <w:rsid w:val="00F14CCF"/>
    <w:rsid w:val="00F1565E"/>
    <w:rsid w:val="00F22A9B"/>
    <w:rsid w:val="00F2367B"/>
    <w:rsid w:val="00F24B1A"/>
    <w:rsid w:val="00F31816"/>
    <w:rsid w:val="00F326EC"/>
    <w:rsid w:val="00F365A0"/>
    <w:rsid w:val="00F422C5"/>
    <w:rsid w:val="00F44A5D"/>
    <w:rsid w:val="00F45029"/>
    <w:rsid w:val="00F46567"/>
    <w:rsid w:val="00F50ADC"/>
    <w:rsid w:val="00F539CC"/>
    <w:rsid w:val="00F5410E"/>
    <w:rsid w:val="00F57A45"/>
    <w:rsid w:val="00F61D4D"/>
    <w:rsid w:val="00F74812"/>
    <w:rsid w:val="00F838E9"/>
    <w:rsid w:val="00F85C9E"/>
    <w:rsid w:val="00F86473"/>
    <w:rsid w:val="00F8744B"/>
    <w:rsid w:val="00F94D1D"/>
    <w:rsid w:val="00F95D93"/>
    <w:rsid w:val="00FA1D61"/>
    <w:rsid w:val="00FA61FA"/>
    <w:rsid w:val="00FB2B2E"/>
    <w:rsid w:val="00FB32B5"/>
    <w:rsid w:val="00FB379E"/>
    <w:rsid w:val="00FB54E5"/>
    <w:rsid w:val="00FB5D70"/>
    <w:rsid w:val="00FC47DF"/>
    <w:rsid w:val="00FC54E9"/>
    <w:rsid w:val="00FC71A4"/>
    <w:rsid w:val="00FC7518"/>
    <w:rsid w:val="00FD049E"/>
    <w:rsid w:val="00FD05C9"/>
    <w:rsid w:val="00FD3720"/>
    <w:rsid w:val="00FE0488"/>
    <w:rsid w:val="00FE439A"/>
    <w:rsid w:val="00FF238E"/>
    <w:rsid w:val="00FF4309"/>
    <w:rsid w:val="00FF6DF9"/>
    <w:rsid w:val="057F13E1"/>
    <w:rsid w:val="24806EE4"/>
    <w:rsid w:val="24BC32DA"/>
    <w:rsid w:val="2C3A210E"/>
    <w:rsid w:val="2CBB231A"/>
    <w:rsid w:val="3A830B88"/>
    <w:rsid w:val="53E605A8"/>
    <w:rsid w:val="54FA013D"/>
    <w:rsid w:val="5A372751"/>
    <w:rsid w:val="73307147"/>
    <w:rsid w:val="79AD29A2"/>
    <w:rsid w:val="7A3B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111CE"/>
  <w15:docId w15:val="{C354B31C-53E3-4354-ADBB-92C1AFC5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20"/>
    <w:qFormat/>
    <w:pPr>
      <w:jc w:val="left"/>
    </w:pPr>
  </w:style>
  <w:style w:type="paragraph" w:styleId="a5">
    <w:name w:val="Body Text"/>
    <w:basedOn w:val="a"/>
    <w:link w:val="1"/>
    <w:qFormat/>
    <w:pPr>
      <w:spacing w:line="360" w:lineRule="auto"/>
    </w:pPr>
    <w:rPr>
      <w:rFonts w:ascii="仿宋_GB2312" w:eastAsia="仿宋_GB2312"/>
      <w:color w:val="000000"/>
      <w:kern w:val="0"/>
      <w:sz w:val="24"/>
      <w:szCs w:val="28"/>
    </w:rPr>
  </w:style>
  <w:style w:type="paragraph" w:styleId="a6">
    <w:name w:val="Body Text Indent"/>
    <w:basedOn w:val="a"/>
    <w:link w:val="10"/>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2">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1"/>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qFormat/>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14">
    <w:name w:val="批注文字 字符1"/>
    <w:qFormat/>
    <w:rPr>
      <w:rFonts w:ascii="Times New Roman" w:eastAsia="宋体" w:hAnsi="Times New Roman" w:cs="Times New Roman"/>
      <w:szCs w:val="24"/>
    </w:rPr>
  </w:style>
  <w:style w:type="character" w:customStyle="1" w:styleId="210">
    <w:name w:val="正文文本缩进 2 字符1"/>
    <w:link w:val="22"/>
    <w:qFormat/>
    <w:rPr>
      <w:rFonts w:ascii="宋体" w:eastAsia="宋体" w:hAnsi="宋体" w:cs="Times New Roman"/>
      <w:sz w:val="28"/>
      <w:szCs w:val="20"/>
    </w:rPr>
  </w:style>
  <w:style w:type="character" w:customStyle="1" w:styleId="ab">
    <w:name w:val="页眉 字符"/>
    <w:link w:val="aa"/>
    <w:uiPriority w:val="99"/>
    <w:qFormat/>
    <w:rPr>
      <w:sz w:val="18"/>
      <w:szCs w:val="18"/>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正文文本缩进 3 字符"/>
    <w:uiPriority w:val="99"/>
    <w:semiHidden/>
    <w:qFormat/>
    <w:rPr>
      <w:rFonts w:ascii="Times New Roman" w:eastAsia="宋体" w:hAnsi="Times New Roman" w:cs="Times New Roman"/>
      <w:sz w:val="16"/>
      <w:szCs w:val="16"/>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20">
    <w:name w:val="批注文字 字符2"/>
    <w:link w:val="a4"/>
    <w:uiPriority w:val="99"/>
    <w:qFormat/>
    <w:rPr>
      <w:rFonts w:ascii="Times New Roman" w:eastAsia="宋体" w:hAnsi="Times New Roman" w:cs="Times New Roman"/>
      <w:szCs w:val="24"/>
    </w:rPr>
  </w:style>
  <w:style w:type="character" w:customStyle="1" w:styleId="af3">
    <w:name w:val="正文文本缩进 字符"/>
    <w:uiPriority w:val="99"/>
    <w:semiHidden/>
    <w:qFormat/>
    <w:rPr>
      <w:rFonts w:ascii="Times New Roman" w:eastAsia="宋体" w:hAnsi="Times New Roman" w:cs="Times New Roman"/>
      <w:szCs w:val="24"/>
    </w:rPr>
  </w:style>
  <w:style w:type="character" w:customStyle="1" w:styleId="af4">
    <w:name w:val="批注主题 字符"/>
    <w:uiPriority w:val="99"/>
    <w:semiHidden/>
    <w:qFormat/>
    <w:rPr>
      <w:rFonts w:ascii="Times New Roman" w:eastAsia="宋体" w:hAnsi="Times New Roman" w:cs="Times New Roman"/>
      <w:b/>
      <w:bCs/>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11">
    <w:name w:val="批注框文本 字符1"/>
    <w:link w:val="a7"/>
    <w:semiHidden/>
    <w:qFormat/>
    <w:rPr>
      <w:rFonts w:ascii="Times New Roman" w:eastAsia="宋体" w:hAnsi="Times New Roman" w:cs="Times New Roman"/>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af6">
    <w:name w:val="批注文字 字符"/>
    <w:semiHidden/>
    <w:qFormat/>
    <w:rPr>
      <w:rFonts w:ascii="Times New Roman" w:eastAsia="宋体" w:hAnsi="Times New Roman" w:cs="Times New Roman"/>
      <w:szCs w:val="24"/>
    </w:rPr>
  </w:style>
  <w:style w:type="character" w:customStyle="1" w:styleId="read">
    <w:name w:val="read"/>
    <w:qFormat/>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13">
    <w:name w:val="批注主题 字符1"/>
    <w:link w:val="ad"/>
    <w:qFormat/>
    <w:rPr>
      <w:rFonts w:ascii="Times New Roman" w:eastAsia="宋体" w:hAnsi="Times New Roman" w:cs="Times New Roman"/>
      <w:b/>
      <w:bCs/>
      <w:szCs w:val="24"/>
    </w:rPr>
  </w:style>
  <w:style w:type="character" w:customStyle="1" w:styleId="25">
    <w:name w:val="正文文本缩进 2 字符"/>
    <w:uiPriority w:val="99"/>
    <w:semiHidden/>
    <w:qFormat/>
    <w:rPr>
      <w:rFonts w:ascii="Times New Roman" w:eastAsia="宋体" w:hAnsi="Times New Roman" w:cs="Times New Roman"/>
      <w:szCs w:val="24"/>
    </w:rPr>
  </w:style>
  <w:style w:type="character" w:customStyle="1" w:styleId="Char">
    <w:name w:val="页脚 Char"/>
    <w:uiPriority w:val="99"/>
    <w:qFormat/>
    <w:rPr>
      <w:sz w:val="18"/>
      <w:szCs w:val="18"/>
    </w:rPr>
  </w:style>
  <w:style w:type="character" w:customStyle="1" w:styleId="Char0">
    <w:name w:val="页眉 Char"/>
    <w:uiPriority w:val="99"/>
    <w:qFormat/>
    <w:rPr>
      <w:sz w:val="18"/>
      <w:szCs w:val="18"/>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9">
    <w:name w:val="页脚 字符"/>
    <w:link w:val="a8"/>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character" w:customStyle="1" w:styleId="10">
    <w:name w:val="正文文本缩进 字符1"/>
    <w:link w:val="a6"/>
    <w:qFormat/>
    <w:rPr>
      <w:rFonts w:ascii="Times New Roman" w:eastAsia="方正仿宋简体" w:hAnsi="Times New Roman" w:cs="Times New Roman"/>
      <w:sz w:val="24"/>
      <w:szCs w:val="30"/>
    </w:rPr>
  </w:style>
  <w:style w:type="character" w:customStyle="1" w:styleId="1">
    <w:name w:val="正文文本 字符1"/>
    <w:link w:val="a5"/>
    <w:qFormat/>
    <w:rPr>
      <w:rFonts w:ascii="仿宋_GB2312" w:eastAsia="仿宋_GB2312" w:hAnsi="Times New Roman" w:cs="Times New Roman"/>
      <w:color w:val="000000"/>
      <w:kern w:val="0"/>
      <w:sz w:val="24"/>
      <w:szCs w:val="28"/>
    </w:rPr>
  </w:style>
  <w:style w:type="character" w:customStyle="1" w:styleId="af7">
    <w:name w:val="正文文本 字符"/>
    <w:uiPriority w:val="99"/>
    <w:semiHidden/>
    <w:qFormat/>
    <w:rPr>
      <w:rFonts w:ascii="Times New Roman" w:eastAsia="宋体" w:hAnsi="Times New Roman" w:cs="Times New Roman"/>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Pr>
      <w:szCs w:val="20"/>
    </w:rPr>
  </w:style>
  <w:style w:type="paragraph" w:customStyle="1" w:styleId="Char2">
    <w:name w:val="Char"/>
    <w:basedOn w:val="a"/>
    <w:qFormat/>
  </w:style>
  <w:style w:type="paragraph" w:customStyle="1" w:styleId="15">
    <w:name w:val="修订1"/>
    <w:uiPriority w:val="99"/>
    <w:semiHidden/>
    <w:qFormat/>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qFormat/>
  </w:style>
  <w:style w:type="paragraph" w:customStyle="1" w:styleId="26">
    <w:name w:val="修订2"/>
    <w:hidden/>
    <w:uiPriority w:val="99"/>
    <w:semiHidden/>
    <w:qFormat/>
    <w:rPr>
      <w:rFonts w:ascii="Times New Roman" w:hAnsi="Times New Roman"/>
      <w:kern w:val="2"/>
      <w:sz w:val="21"/>
      <w:szCs w:val="24"/>
    </w:rPr>
  </w:style>
  <w:style w:type="paragraph" w:customStyle="1" w:styleId="33">
    <w:name w:val="修订3"/>
    <w:hidden/>
    <w:uiPriority w:val="99"/>
    <w:semiHidden/>
    <w:rPr>
      <w:rFonts w:ascii="Times New Roman" w:hAnsi="Times New Roman"/>
      <w:kern w:val="2"/>
      <w:sz w:val="21"/>
      <w:szCs w:val="24"/>
    </w:rPr>
  </w:style>
  <w:style w:type="paragraph" w:styleId="af8">
    <w:name w:val="Revision"/>
    <w:hidden/>
    <w:uiPriority w:val="99"/>
    <w:semiHidden/>
    <w:rsid w:val="006E6C0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5143</Words>
  <Characters>29318</Characters>
  <Application>Microsoft Office Word</Application>
  <DocSecurity>0</DocSecurity>
  <Lines>244</Lines>
  <Paragraphs>68</Paragraphs>
  <ScaleCrop>false</ScaleCrop>
  <Company>神州网信技术有限公司</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zlx</cp:lastModifiedBy>
  <cp:revision>22</cp:revision>
  <cp:lastPrinted>2025-09-01T09:34:00Z</cp:lastPrinted>
  <dcterms:created xsi:type="dcterms:W3CDTF">2025-09-01T09:18:00Z</dcterms:created>
  <dcterms:modified xsi:type="dcterms:W3CDTF">2025-10-31T03:24:00Z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F2CF8C89592B4F3B9FA45E3DADACFB95</vt:lpwstr>
  </property>
</Properties>
</file>