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8C752" w14:textId="77777777" w:rsidR="00C74F7E" w:rsidRDefault="00C74F7E">
      <w:pPr>
        <w:adjustRightInd w:val="0"/>
        <w:snapToGrid w:val="0"/>
        <w:spacing w:line="360" w:lineRule="auto"/>
        <w:jc w:val="center"/>
        <w:rPr>
          <w:rFonts w:ascii="彩虹粗仿宋" w:eastAsia="彩虹粗仿宋" w:hAnsi="宋体" w:cs="Arial"/>
          <w:kern w:val="0"/>
          <w:sz w:val="24"/>
        </w:rPr>
      </w:pPr>
      <w:bookmarkStart w:id="0" w:name="OLE_LINK5"/>
    </w:p>
    <w:p w14:paraId="5E737BD0" w14:textId="77777777" w:rsidR="00C74F7E" w:rsidRDefault="00C74F7E">
      <w:pPr>
        <w:adjustRightInd w:val="0"/>
        <w:snapToGrid w:val="0"/>
        <w:spacing w:line="360" w:lineRule="auto"/>
        <w:jc w:val="center"/>
        <w:rPr>
          <w:rFonts w:ascii="彩虹粗仿宋" w:eastAsia="彩虹粗仿宋" w:hAnsi="宋体" w:cs="Arial"/>
          <w:kern w:val="0"/>
          <w:sz w:val="24"/>
        </w:rPr>
      </w:pPr>
    </w:p>
    <w:p w14:paraId="0F61D167" w14:textId="77777777" w:rsidR="00C74F7E" w:rsidRDefault="00C74F7E">
      <w:pPr>
        <w:adjustRightInd w:val="0"/>
        <w:snapToGrid w:val="0"/>
        <w:spacing w:line="360" w:lineRule="auto"/>
        <w:jc w:val="center"/>
        <w:rPr>
          <w:rFonts w:ascii="彩虹粗仿宋" w:eastAsia="彩虹粗仿宋" w:hAnsi="宋体" w:cs="Arial"/>
          <w:kern w:val="0"/>
          <w:sz w:val="24"/>
        </w:rPr>
      </w:pPr>
    </w:p>
    <w:p w14:paraId="36AB130B" w14:textId="77777777" w:rsidR="00C74F7E" w:rsidRDefault="009641F6">
      <w:pPr>
        <w:adjustRightInd w:val="0"/>
        <w:snapToGrid w:val="0"/>
        <w:spacing w:line="360" w:lineRule="auto"/>
        <w:jc w:val="center"/>
        <w:rPr>
          <w:rFonts w:ascii="彩虹粗仿宋" w:eastAsia="彩虹粗仿宋" w:hAnsi="宋体" w:cs="Arial"/>
          <w:b/>
          <w:sz w:val="44"/>
        </w:rPr>
      </w:pPr>
      <w:r>
        <w:rPr>
          <w:rFonts w:ascii="彩虹粗仿宋" w:eastAsia="彩虹粗仿宋" w:hAnsi="宋体" w:cs="Arial" w:hint="eastAsia"/>
          <w:b/>
          <w:sz w:val="44"/>
        </w:rPr>
        <w:t>信澳鑫丰债券型证券投资基金托管协议</w:t>
      </w:r>
    </w:p>
    <w:p w14:paraId="5C06506E" w14:textId="77777777" w:rsidR="00C74F7E" w:rsidRDefault="00C74F7E">
      <w:pPr>
        <w:adjustRightInd w:val="0"/>
        <w:snapToGrid w:val="0"/>
        <w:spacing w:line="360" w:lineRule="auto"/>
        <w:jc w:val="center"/>
        <w:rPr>
          <w:rFonts w:ascii="彩虹粗仿宋" w:eastAsia="彩虹粗仿宋" w:hAnsi="宋体" w:cs="Arial"/>
          <w:b/>
          <w:sz w:val="44"/>
        </w:rPr>
      </w:pPr>
    </w:p>
    <w:p w14:paraId="79487814" w14:textId="77777777" w:rsidR="00C74F7E" w:rsidRDefault="00C74F7E">
      <w:pPr>
        <w:adjustRightInd w:val="0"/>
        <w:snapToGrid w:val="0"/>
        <w:spacing w:line="360" w:lineRule="auto"/>
        <w:jc w:val="center"/>
        <w:rPr>
          <w:rFonts w:ascii="彩虹粗仿宋" w:eastAsia="彩虹粗仿宋" w:hAnsi="宋体" w:cs="Arial"/>
          <w:kern w:val="0"/>
          <w:sz w:val="28"/>
        </w:rPr>
      </w:pPr>
    </w:p>
    <w:p w14:paraId="6C339B96" w14:textId="77777777" w:rsidR="00C74F7E" w:rsidRDefault="00C74F7E">
      <w:pPr>
        <w:adjustRightInd w:val="0"/>
        <w:snapToGrid w:val="0"/>
        <w:spacing w:line="360" w:lineRule="auto"/>
        <w:rPr>
          <w:rFonts w:ascii="彩虹粗仿宋" w:eastAsia="彩虹粗仿宋" w:hAnsi="宋体" w:cs="Arial"/>
          <w:kern w:val="0"/>
          <w:sz w:val="28"/>
        </w:rPr>
      </w:pPr>
    </w:p>
    <w:p w14:paraId="12E4C14E" w14:textId="77777777" w:rsidR="00C74F7E" w:rsidRDefault="00C74F7E">
      <w:pPr>
        <w:adjustRightInd w:val="0"/>
        <w:snapToGrid w:val="0"/>
        <w:spacing w:line="360" w:lineRule="auto"/>
        <w:jc w:val="center"/>
        <w:rPr>
          <w:rFonts w:ascii="彩虹粗仿宋" w:eastAsia="彩虹粗仿宋" w:hAnsi="宋体" w:cs="Arial"/>
          <w:kern w:val="0"/>
          <w:sz w:val="28"/>
        </w:rPr>
      </w:pPr>
    </w:p>
    <w:p w14:paraId="6CD891E5" w14:textId="77777777" w:rsidR="00C74F7E" w:rsidRDefault="00C74F7E">
      <w:pPr>
        <w:adjustRightInd w:val="0"/>
        <w:snapToGrid w:val="0"/>
        <w:spacing w:line="360" w:lineRule="auto"/>
        <w:jc w:val="center"/>
        <w:rPr>
          <w:rFonts w:ascii="彩虹粗仿宋" w:eastAsia="彩虹粗仿宋" w:hAnsi="宋体" w:cs="Arial"/>
          <w:kern w:val="0"/>
          <w:sz w:val="28"/>
        </w:rPr>
      </w:pPr>
    </w:p>
    <w:p w14:paraId="4B61DFBF" w14:textId="77777777" w:rsidR="00C74F7E" w:rsidRDefault="00C74F7E">
      <w:pPr>
        <w:adjustRightInd w:val="0"/>
        <w:snapToGrid w:val="0"/>
        <w:spacing w:line="360" w:lineRule="auto"/>
        <w:jc w:val="center"/>
        <w:rPr>
          <w:rFonts w:ascii="彩虹粗仿宋" w:eastAsia="彩虹粗仿宋" w:hAnsi="宋体" w:cs="Arial"/>
          <w:kern w:val="0"/>
          <w:sz w:val="28"/>
        </w:rPr>
      </w:pPr>
    </w:p>
    <w:p w14:paraId="04D18F69" w14:textId="77777777" w:rsidR="00C74F7E" w:rsidRDefault="009641F6">
      <w:pPr>
        <w:adjustRightInd w:val="0"/>
        <w:snapToGrid w:val="0"/>
        <w:spacing w:line="360" w:lineRule="auto"/>
        <w:jc w:val="center"/>
        <w:rPr>
          <w:rFonts w:ascii="彩虹粗仿宋" w:eastAsia="彩虹粗仿宋" w:hAnsi="宋体" w:cs="Arial"/>
          <w:b/>
          <w:kern w:val="0"/>
          <w:sz w:val="28"/>
        </w:rPr>
      </w:pPr>
      <w:r>
        <w:rPr>
          <w:rFonts w:ascii="彩虹粗仿宋" w:eastAsia="彩虹粗仿宋" w:hAnsi="宋体" w:cs="Arial" w:hint="eastAsia"/>
          <w:b/>
          <w:bCs/>
          <w:sz w:val="28"/>
        </w:rPr>
        <w:t xml:space="preserve">  </w:t>
      </w:r>
      <w:r>
        <w:rPr>
          <w:rFonts w:ascii="彩虹粗仿宋" w:eastAsia="彩虹粗仿宋" w:hAnsi="宋体" w:cs="Arial"/>
          <w:b/>
          <w:kern w:val="0"/>
          <w:sz w:val="28"/>
        </w:rPr>
        <w:t xml:space="preserve">  基金管理人：</w:t>
      </w:r>
      <w:r>
        <w:rPr>
          <w:rFonts w:ascii="彩虹粗仿宋" w:eastAsia="彩虹粗仿宋" w:hAnsi="宋体" w:cs="Arial" w:hint="eastAsia"/>
          <w:b/>
          <w:kern w:val="0"/>
          <w:sz w:val="28"/>
        </w:rPr>
        <w:t>信达澳亚基金管理有限公司</w:t>
      </w:r>
    </w:p>
    <w:p w14:paraId="76776DA2" w14:textId="77777777" w:rsidR="00C74F7E" w:rsidRDefault="009641F6">
      <w:pPr>
        <w:adjustRightInd w:val="0"/>
        <w:snapToGrid w:val="0"/>
        <w:spacing w:line="360" w:lineRule="auto"/>
        <w:jc w:val="center"/>
        <w:rPr>
          <w:rFonts w:ascii="彩虹粗仿宋" w:eastAsia="彩虹粗仿宋" w:hAnsi="宋体" w:cs="Arial"/>
          <w:b/>
          <w:kern w:val="0"/>
          <w:sz w:val="28"/>
        </w:rPr>
      </w:pPr>
      <w:r>
        <w:rPr>
          <w:rFonts w:ascii="彩虹粗仿宋" w:eastAsia="彩虹粗仿宋" w:hAnsi="宋体" w:cs="Arial"/>
          <w:b/>
          <w:kern w:val="0"/>
          <w:sz w:val="28"/>
        </w:rPr>
        <w:t xml:space="preserve">    基金托管人：中国建设银行股份有限公司</w:t>
      </w:r>
    </w:p>
    <w:p w14:paraId="5EB5CC6C" w14:textId="77777777" w:rsidR="00C74F7E" w:rsidRDefault="00C74F7E">
      <w:pPr>
        <w:adjustRightInd w:val="0"/>
        <w:snapToGrid w:val="0"/>
        <w:spacing w:line="360" w:lineRule="auto"/>
        <w:jc w:val="center"/>
        <w:rPr>
          <w:rFonts w:ascii="彩虹粗仿宋" w:eastAsia="彩虹粗仿宋" w:hAnsi="宋体" w:cs="Arial"/>
          <w:sz w:val="28"/>
        </w:rPr>
      </w:pPr>
    </w:p>
    <w:p w14:paraId="7F702CB6" w14:textId="77777777" w:rsidR="00C74F7E" w:rsidRDefault="00C74F7E">
      <w:pPr>
        <w:adjustRightInd w:val="0"/>
        <w:snapToGrid w:val="0"/>
        <w:spacing w:line="360" w:lineRule="auto"/>
        <w:jc w:val="center"/>
        <w:rPr>
          <w:rFonts w:ascii="彩虹粗仿宋" w:eastAsia="彩虹粗仿宋" w:hAnsi="宋体" w:cs="Arial"/>
          <w:kern w:val="0"/>
          <w:sz w:val="28"/>
        </w:rPr>
      </w:pPr>
    </w:p>
    <w:p w14:paraId="0D704E63" w14:textId="77777777" w:rsidR="00C74F7E" w:rsidRDefault="00C74F7E">
      <w:pPr>
        <w:adjustRightInd w:val="0"/>
        <w:snapToGrid w:val="0"/>
        <w:spacing w:line="360" w:lineRule="auto"/>
        <w:jc w:val="center"/>
        <w:rPr>
          <w:rFonts w:ascii="彩虹粗仿宋" w:eastAsia="彩虹粗仿宋" w:hAnsi="宋体" w:cs="Arial"/>
          <w:kern w:val="0"/>
          <w:sz w:val="28"/>
        </w:rPr>
      </w:pPr>
    </w:p>
    <w:p w14:paraId="287BE0A4" w14:textId="5542A9F7" w:rsidR="00C74F7E" w:rsidRDefault="009641F6">
      <w:pPr>
        <w:adjustRightInd w:val="0"/>
        <w:snapToGrid w:val="0"/>
        <w:spacing w:line="360" w:lineRule="auto"/>
        <w:jc w:val="center"/>
        <w:rPr>
          <w:rFonts w:ascii="彩虹粗仿宋" w:eastAsia="彩虹粗仿宋" w:hAnsi="宋体" w:cs="Arial"/>
          <w:kern w:val="0"/>
          <w:sz w:val="28"/>
        </w:rPr>
        <w:sectPr w:rsidR="00C74F7E">
          <w:footerReference w:type="even" r:id="rId7"/>
          <w:footerReference w:type="default" r:id="rId8"/>
          <w:pgSz w:w="11906" w:h="16838"/>
          <w:pgMar w:top="1418" w:right="1701" w:bottom="1418" w:left="1701" w:header="851" w:footer="992" w:gutter="0"/>
          <w:cols w:space="720"/>
          <w:docGrid w:type="lines" w:linePitch="312"/>
        </w:sectPr>
      </w:pPr>
      <w:r>
        <w:rPr>
          <w:rFonts w:ascii="彩虹粗仿宋" w:eastAsia="彩虹粗仿宋" w:hAnsi="宋体" w:cs="Arial"/>
          <w:kern w:val="0"/>
          <w:sz w:val="28"/>
        </w:rPr>
        <w:t xml:space="preserve"> </w:t>
      </w:r>
      <w:r>
        <w:rPr>
          <w:rFonts w:ascii="彩虹粗仿宋" w:eastAsia="彩虹粗仿宋" w:hAnsi="宋体" w:cs="Arial" w:hint="eastAsia"/>
          <w:kern w:val="0"/>
          <w:sz w:val="28"/>
        </w:rPr>
        <w:t>二零二五年</w:t>
      </w:r>
      <w:r>
        <w:rPr>
          <w:rFonts w:ascii="彩虹粗仿宋" w:eastAsia="彩虹粗仿宋" w:hAnsi="宋体" w:cs="Arial"/>
          <w:kern w:val="0"/>
          <w:sz w:val="28"/>
        </w:rPr>
        <w:t>十</w:t>
      </w:r>
      <w:r w:rsidR="00B147E2">
        <w:rPr>
          <w:rFonts w:ascii="彩虹粗仿宋" w:eastAsia="彩虹粗仿宋" w:hAnsi="宋体" w:cs="Arial" w:hint="eastAsia"/>
          <w:kern w:val="0"/>
          <w:sz w:val="28"/>
        </w:rPr>
        <w:t>二</w:t>
      </w:r>
      <w:r>
        <w:rPr>
          <w:rFonts w:ascii="彩虹粗仿宋" w:eastAsia="彩虹粗仿宋" w:hAnsi="宋体" w:cs="Arial" w:hint="eastAsia"/>
          <w:kern w:val="0"/>
          <w:sz w:val="28"/>
        </w:rPr>
        <w:t>月</w:t>
      </w:r>
    </w:p>
    <w:p w14:paraId="3365C1A8" w14:textId="77777777" w:rsidR="00C74F7E" w:rsidRDefault="009641F6">
      <w:pPr>
        <w:spacing w:line="360" w:lineRule="auto"/>
        <w:jc w:val="center"/>
        <w:rPr>
          <w:rFonts w:ascii="彩虹粗仿宋" w:eastAsia="彩虹粗仿宋"/>
          <w:b/>
          <w:bCs/>
          <w:sz w:val="30"/>
        </w:rPr>
      </w:pPr>
      <w:r>
        <w:rPr>
          <w:rFonts w:ascii="彩虹粗仿宋" w:eastAsia="彩虹粗仿宋" w:hint="eastAsia"/>
          <w:b/>
          <w:bCs/>
          <w:sz w:val="30"/>
        </w:rPr>
        <w:lastRenderedPageBreak/>
        <w:t>目    录</w:t>
      </w:r>
    </w:p>
    <w:p w14:paraId="61C307D8" w14:textId="77777777" w:rsidR="00C74F7E" w:rsidRDefault="009641F6">
      <w:pPr>
        <w:pStyle w:val="20"/>
        <w:tabs>
          <w:tab w:val="right" w:leader="dot" w:pos="8306"/>
        </w:tabs>
        <w:rPr>
          <w:noProof/>
        </w:rPr>
      </w:pPr>
      <w:r>
        <w:rPr>
          <w:rFonts w:ascii="彩虹粗仿宋" w:eastAsia="彩虹粗仿宋" w:hAnsi="宋体" w:hint="eastAsia"/>
          <w:sz w:val="28"/>
          <w:szCs w:val="28"/>
        </w:rPr>
        <w:fldChar w:fldCharType="begin"/>
      </w:r>
      <w:r>
        <w:rPr>
          <w:rFonts w:ascii="彩虹粗仿宋" w:eastAsia="彩虹粗仿宋" w:hAnsi="宋体" w:hint="eastAsia"/>
          <w:sz w:val="28"/>
          <w:szCs w:val="28"/>
        </w:rPr>
        <w:instrText xml:space="preserve"> TOC \o "1-2" \h \z </w:instrText>
      </w:r>
      <w:r>
        <w:rPr>
          <w:rFonts w:ascii="彩虹粗仿宋" w:eastAsia="彩虹粗仿宋" w:hAnsi="宋体" w:hint="eastAsia"/>
          <w:sz w:val="28"/>
          <w:szCs w:val="28"/>
        </w:rPr>
        <w:fldChar w:fldCharType="separate"/>
      </w:r>
      <w:hyperlink w:anchor="_Toc10194" w:history="1">
        <w:r>
          <w:rPr>
            <w:rFonts w:ascii="彩虹粗仿宋" w:eastAsia="彩虹粗仿宋" w:hint="eastAsia"/>
            <w:noProof/>
          </w:rPr>
          <w:t>一、基金托管协议当事人</w:t>
        </w:r>
        <w:r>
          <w:rPr>
            <w:noProof/>
          </w:rPr>
          <w:tab/>
        </w:r>
        <w:r>
          <w:rPr>
            <w:noProof/>
          </w:rPr>
          <w:fldChar w:fldCharType="begin"/>
        </w:r>
        <w:r>
          <w:rPr>
            <w:noProof/>
          </w:rPr>
          <w:instrText xml:space="preserve"> PAGEREF _Toc10194 \h </w:instrText>
        </w:r>
        <w:r>
          <w:rPr>
            <w:noProof/>
          </w:rPr>
        </w:r>
        <w:r>
          <w:rPr>
            <w:noProof/>
          </w:rPr>
          <w:fldChar w:fldCharType="separate"/>
        </w:r>
        <w:r w:rsidR="00A615F1">
          <w:rPr>
            <w:noProof/>
          </w:rPr>
          <w:t>3</w:t>
        </w:r>
        <w:r>
          <w:rPr>
            <w:noProof/>
          </w:rPr>
          <w:fldChar w:fldCharType="end"/>
        </w:r>
      </w:hyperlink>
    </w:p>
    <w:p w14:paraId="1210E40E" w14:textId="77777777" w:rsidR="00C74F7E" w:rsidRDefault="001023D2">
      <w:pPr>
        <w:pStyle w:val="20"/>
        <w:tabs>
          <w:tab w:val="right" w:leader="dot" w:pos="8306"/>
        </w:tabs>
        <w:rPr>
          <w:noProof/>
        </w:rPr>
      </w:pPr>
      <w:hyperlink w:anchor="_Toc10833" w:history="1">
        <w:r w:rsidR="009641F6">
          <w:rPr>
            <w:rFonts w:ascii="彩虹粗仿宋" w:eastAsia="彩虹粗仿宋" w:hint="eastAsia"/>
            <w:noProof/>
          </w:rPr>
          <w:t>二、基金托管协议的依据、目的和原则</w:t>
        </w:r>
        <w:r w:rsidR="009641F6">
          <w:rPr>
            <w:noProof/>
          </w:rPr>
          <w:tab/>
        </w:r>
        <w:r w:rsidR="009641F6">
          <w:rPr>
            <w:noProof/>
          </w:rPr>
          <w:fldChar w:fldCharType="begin"/>
        </w:r>
        <w:r w:rsidR="009641F6">
          <w:rPr>
            <w:noProof/>
          </w:rPr>
          <w:instrText xml:space="preserve"> PAGEREF _Toc10833 \h </w:instrText>
        </w:r>
        <w:r w:rsidR="009641F6">
          <w:rPr>
            <w:noProof/>
          </w:rPr>
        </w:r>
        <w:r w:rsidR="009641F6">
          <w:rPr>
            <w:noProof/>
          </w:rPr>
          <w:fldChar w:fldCharType="separate"/>
        </w:r>
        <w:r w:rsidR="00A615F1">
          <w:rPr>
            <w:noProof/>
          </w:rPr>
          <w:t>5</w:t>
        </w:r>
        <w:r w:rsidR="009641F6">
          <w:rPr>
            <w:noProof/>
          </w:rPr>
          <w:fldChar w:fldCharType="end"/>
        </w:r>
      </w:hyperlink>
    </w:p>
    <w:p w14:paraId="2D09A6DB" w14:textId="77777777" w:rsidR="00C74F7E" w:rsidRDefault="001023D2">
      <w:pPr>
        <w:pStyle w:val="20"/>
        <w:tabs>
          <w:tab w:val="right" w:leader="dot" w:pos="8306"/>
        </w:tabs>
        <w:rPr>
          <w:noProof/>
        </w:rPr>
      </w:pPr>
      <w:hyperlink w:anchor="_Toc15774" w:history="1">
        <w:r w:rsidR="009641F6">
          <w:rPr>
            <w:rFonts w:ascii="彩虹粗仿宋" w:eastAsia="彩虹粗仿宋" w:hint="eastAsia"/>
            <w:noProof/>
          </w:rPr>
          <w:t>三、基金托管人对基金管理人的业务监督和核查</w:t>
        </w:r>
        <w:r w:rsidR="009641F6">
          <w:rPr>
            <w:noProof/>
          </w:rPr>
          <w:tab/>
        </w:r>
        <w:r w:rsidR="009641F6">
          <w:rPr>
            <w:noProof/>
          </w:rPr>
          <w:fldChar w:fldCharType="begin"/>
        </w:r>
        <w:r w:rsidR="009641F6">
          <w:rPr>
            <w:noProof/>
          </w:rPr>
          <w:instrText xml:space="preserve"> PAGEREF _Toc15774 \h </w:instrText>
        </w:r>
        <w:r w:rsidR="009641F6">
          <w:rPr>
            <w:noProof/>
          </w:rPr>
        </w:r>
        <w:r w:rsidR="009641F6">
          <w:rPr>
            <w:noProof/>
          </w:rPr>
          <w:fldChar w:fldCharType="separate"/>
        </w:r>
        <w:r w:rsidR="00A615F1">
          <w:rPr>
            <w:noProof/>
          </w:rPr>
          <w:t>5</w:t>
        </w:r>
        <w:r w:rsidR="009641F6">
          <w:rPr>
            <w:noProof/>
          </w:rPr>
          <w:fldChar w:fldCharType="end"/>
        </w:r>
      </w:hyperlink>
    </w:p>
    <w:p w14:paraId="6652FB1E" w14:textId="77777777" w:rsidR="00C74F7E" w:rsidRDefault="001023D2">
      <w:pPr>
        <w:pStyle w:val="20"/>
        <w:tabs>
          <w:tab w:val="right" w:leader="dot" w:pos="8306"/>
        </w:tabs>
        <w:rPr>
          <w:noProof/>
        </w:rPr>
      </w:pPr>
      <w:hyperlink w:anchor="_Toc4623" w:history="1">
        <w:r w:rsidR="009641F6">
          <w:rPr>
            <w:rFonts w:ascii="彩虹粗仿宋" w:eastAsia="彩虹粗仿宋" w:hint="eastAsia"/>
            <w:noProof/>
          </w:rPr>
          <w:t>四、基金管理人对基金托管人的业务核查</w:t>
        </w:r>
        <w:r w:rsidR="009641F6">
          <w:rPr>
            <w:noProof/>
          </w:rPr>
          <w:tab/>
        </w:r>
        <w:r w:rsidR="009641F6">
          <w:rPr>
            <w:noProof/>
          </w:rPr>
          <w:fldChar w:fldCharType="begin"/>
        </w:r>
        <w:r w:rsidR="009641F6">
          <w:rPr>
            <w:noProof/>
          </w:rPr>
          <w:instrText xml:space="preserve"> PAGEREF _Toc4623 \h </w:instrText>
        </w:r>
        <w:r w:rsidR="009641F6">
          <w:rPr>
            <w:noProof/>
          </w:rPr>
        </w:r>
        <w:r w:rsidR="009641F6">
          <w:rPr>
            <w:noProof/>
          </w:rPr>
          <w:fldChar w:fldCharType="separate"/>
        </w:r>
        <w:r w:rsidR="00A615F1">
          <w:rPr>
            <w:noProof/>
          </w:rPr>
          <w:t>13</w:t>
        </w:r>
        <w:r w:rsidR="009641F6">
          <w:rPr>
            <w:noProof/>
          </w:rPr>
          <w:fldChar w:fldCharType="end"/>
        </w:r>
      </w:hyperlink>
    </w:p>
    <w:p w14:paraId="1878ACC1" w14:textId="77777777" w:rsidR="00C74F7E" w:rsidRDefault="001023D2">
      <w:pPr>
        <w:pStyle w:val="20"/>
        <w:tabs>
          <w:tab w:val="right" w:leader="dot" w:pos="8306"/>
        </w:tabs>
        <w:rPr>
          <w:noProof/>
        </w:rPr>
      </w:pPr>
      <w:hyperlink w:anchor="_Toc3490" w:history="1">
        <w:r w:rsidR="009641F6">
          <w:rPr>
            <w:rFonts w:ascii="彩虹粗仿宋" w:eastAsia="彩虹粗仿宋" w:hint="eastAsia"/>
            <w:noProof/>
          </w:rPr>
          <w:t>五、基金财产的保管</w:t>
        </w:r>
        <w:r w:rsidR="009641F6">
          <w:rPr>
            <w:noProof/>
          </w:rPr>
          <w:tab/>
        </w:r>
        <w:r w:rsidR="009641F6">
          <w:rPr>
            <w:noProof/>
          </w:rPr>
          <w:fldChar w:fldCharType="begin"/>
        </w:r>
        <w:r w:rsidR="009641F6">
          <w:rPr>
            <w:noProof/>
          </w:rPr>
          <w:instrText xml:space="preserve"> PAGEREF _Toc3490 \h </w:instrText>
        </w:r>
        <w:r w:rsidR="009641F6">
          <w:rPr>
            <w:noProof/>
          </w:rPr>
        </w:r>
        <w:r w:rsidR="009641F6">
          <w:rPr>
            <w:noProof/>
          </w:rPr>
          <w:fldChar w:fldCharType="separate"/>
        </w:r>
        <w:r w:rsidR="00A615F1">
          <w:rPr>
            <w:noProof/>
          </w:rPr>
          <w:t>14</w:t>
        </w:r>
        <w:r w:rsidR="009641F6">
          <w:rPr>
            <w:noProof/>
          </w:rPr>
          <w:fldChar w:fldCharType="end"/>
        </w:r>
      </w:hyperlink>
    </w:p>
    <w:p w14:paraId="68882F71" w14:textId="77777777" w:rsidR="00C74F7E" w:rsidRDefault="001023D2">
      <w:pPr>
        <w:pStyle w:val="20"/>
        <w:tabs>
          <w:tab w:val="right" w:leader="dot" w:pos="8306"/>
        </w:tabs>
        <w:rPr>
          <w:noProof/>
        </w:rPr>
      </w:pPr>
      <w:hyperlink w:anchor="_Toc1124" w:history="1">
        <w:r w:rsidR="009641F6">
          <w:rPr>
            <w:rFonts w:ascii="彩虹粗仿宋" w:eastAsia="彩虹粗仿宋" w:hint="eastAsia"/>
            <w:noProof/>
          </w:rPr>
          <w:t>六、指令的发送、确认及执行</w:t>
        </w:r>
        <w:r w:rsidR="009641F6">
          <w:rPr>
            <w:noProof/>
          </w:rPr>
          <w:tab/>
        </w:r>
        <w:r w:rsidR="009641F6">
          <w:rPr>
            <w:noProof/>
          </w:rPr>
          <w:fldChar w:fldCharType="begin"/>
        </w:r>
        <w:r w:rsidR="009641F6">
          <w:rPr>
            <w:noProof/>
          </w:rPr>
          <w:instrText xml:space="preserve"> PAGEREF _Toc1124 \h </w:instrText>
        </w:r>
        <w:r w:rsidR="009641F6">
          <w:rPr>
            <w:noProof/>
          </w:rPr>
        </w:r>
        <w:r w:rsidR="009641F6">
          <w:rPr>
            <w:noProof/>
          </w:rPr>
          <w:fldChar w:fldCharType="separate"/>
        </w:r>
        <w:r w:rsidR="00A615F1">
          <w:rPr>
            <w:noProof/>
          </w:rPr>
          <w:t>19</w:t>
        </w:r>
        <w:r w:rsidR="009641F6">
          <w:rPr>
            <w:noProof/>
          </w:rPr>
          <w:fldChar w:fldCharType="end"/>
        </w:r>
      </w:hyperlink>
    </w:p>
    <w:p w14:paraId="4B90FF41" w14:textId="77777777" w:rsidR="00C74F7E" w:rsidRDefault="001023D2">
      <w:pPr>
        <w:pStyle w:val="20"/>
        <w:tabs>
          <w:tab w:val="right" w:leader="dot" w:pos="8306"/>
        </w:tabs>
        <w:rPr>
          <w:noProof/>
        </w:rPr>
      </w:pPr>
      <w:hyperlink w:anchor="_Toc10014" w:history="1">
        <w:r w:rsidR="009641F6">
          <w:rPr>
            <w:rFonts w:ascii="彩虹粗仿宋" w:eastAsia="彩虹粗仿宋" w:hint="eastAsia"/>
            <w:noProof/>
          </w:rPr>
          <w:t>七、交易及清算交收安排</w:t>
        </w:r>
        <w:r w:rsidR="009641F6">
          <w:rPr>
            <w:noProof/>
          </w:rPr>
          <w:tab/>
        </w:r>
        <w:r w:rsidR="009641F6">
          <w:rPr>
            <w:noProof/>
          </w:rPr>
          <w:fldChar w:fldCharType="begin"/>
        </w:r>
        <w:r w:rsidR="009641F6">
          <w:rPr>
            <w:noProof/>
          </w:rPr>
          <w:instrText xml:space="preserve"> PAGEREF _Toc10014 \h </w:instrText>
        </w:r>
        <w:r w:rsidR="009641F6">
          <w:rPr>
            <w:noProof/>
          </w:rPr>
        </w:r>
        <w:r w:rsidR="009641F6">
          <w:rPr>
            <w:noProof/>
          </w:rPr>
          <w:fldChar w:fldCharType="separate"/>
        </w:r>
        <w:r w:rsidR="00A615F1">
          <w:rPr>
            <w:noProof/>
          </w:rPr>
          <w:t>22</w:t>
        </w:r>
        <w:r w:rsidR="009641F6">
          <w:rPr>
            <w:noProof/>
          </w:rPr>
          <w:fldChar w:fldCharType="end"/>
        </w:r>
      </w:hyperlink>
    </w:p>
    <w:p w14:paraId="149D4E76" w14:textId="77777777" w:rsidR="00C74F7E" w:rsidRDefault="001023D2">
      <w:pPr>
        <w:pStyle w:val="20"/>
        <w:tabs>
          <w:tab w:val="right" w:leader="dot" w:pos="8306"/>
        </w:tabs>
        <w:rPr>
          <w:noProof/>
        </w:rPr>
      </w:pPr>
      <w:hyperlink w:anchor="_Toc8092" w:history="1">
        <w:r w:rsidR="009641F6">
          <w:rPr>
            <w:rFonts w:ascii="彩虹粗仿宋" w:eastAsia="彩虹粗仿宋" w:hint="eastAsia"/>
            <w:noProof/>
          </w:rPr>
          <w:t>八、基金资产净值计算和会计核算</w:t>
        </w:r>
        <w:r w:rsidR="009641F6">
          <w:rPr>
            <w:noProof/>
          </w:rPr>
          <w:tab/>
        </w:r>
        <w:r w:rsidR="009641F6">
          <w:rPr>
            <w:noProof/>
          </w:rPr>
          <w:fldChar w:fldCharType="begin"/>
        </w:r>
        <w:r w:rsidR="009641F6">
          <w:rPr>
            <w:noProof/>
          </w:rPr>
          <w:instrText xml:space="preserve"> PAGEREF _Toc8092 \h </w:instrText>
        </w:r>
        <w:r w:rsidR="009641F6">
          <w:rPr>
            <w:noProof/>
          </w:rPr>
        </w:r>
        <w:r w:rsidR="009641F6">
          <w:rPr>
            <w:noProof/>
          </w:rPr>
          <w:fldChar w:fldCharType="separate"/>
        </w:r>
        <w:r w:rsidR="00A615F1">
          <w:rPr>
            <w:noProof/>
          </w:rPr>
          <w:t>30</w:t>
        </w:r>
        <w:r w:rsidR="009641F6">
          <w:rPr>
            <w:noProof/>
          </w:rPr>
          <w:fldChar w:fldCharType="end"/>
        </w:r>
      </w:hyperlink>
    </w:p>
    <w:p w14:paraId="71D7C348" w14:textId="77777777" w:rsidR="00C74F7E" w:rsidRDefault="001023D2">
      <w:pPr>
        <w:pStyle w:val="20"/>
        <w:tabs>
          <w:tab w:val="right" w:leader="dot" w:pos="8306"/>
        </w:tabs>
        <w:rPr>
          <w:noProof/>
        </w:rPr>
      </w:pPr>
      <w:hyperlink w:anchor="_Toc29458" w:history="1">
        <w:r w:rsidR="009641F6">
          <w:rPr>
            <w:rFonts w:ascii="彩虹粗仿宋" w:eastAsia="彩虹粗仿宋" w:hint="eastAsia"/>
            <w:noProof/>
          </w:rPr>
          <w:t>九、基金收益分配</w:t>
        </w:r>
        <w:r w:rsidR="009641F6">
          <w:rPr>
            <w:noProof/>
          </w:rPr>
          <w:tab/>
        </w:r>
        <w:r w:rsidR="009641F6">
          <w:rPr>
            <w:noProof/>
          </w:rPr>
          <w:fldChar w:fldCharType="begin"/>
        </w:r>
        <w:r w:rsidR="009641F6">
          <w:rPr>
            <w:noProof/>
          </w:rPr>
          <w:instrText xml:space="preserve"> PAGEREF _Toc29458 \h </w:instrText>
        </w:r>
        <w:r w:rsidR="009641F6">
          <w:rPr>
            <w:noProof/>
          </w:rPr>
        </w:r>
        <w:r w:rsidR="009641F6">
          <w:rPr>
            <w:noProof/>
          </w:rPr>
          <w:fldChar w:fldCharType="separate"/>
        </w:r>
        <w:r w:rsidR="00A615F1">
          <w:rPr>
            <w:noProof/>
          </w:rPr>
          <w:t>38</w:t>
        </w:r>
        <w:r w:rsidR="009641F6">
          <w:rPr>
            <w:noProof/>
          </w:rPr>
          <w:fldChar w:fldCharType="end"/>
        </w:r>
      </w:hyperlink>
    </w:p>
    <w:p w14:paraId="7D6B86C1" w14:textId="77777777" w:rsidR="00C74F7E" w:rsidRDefault="001023D2">
      <w:pPr>
        <w:pStyle w:val="20"/>
        <w:tabs>
          <w:tab w:val="right" w:leader="dot" w:pos="8306"/>
        </w:tabs>
        <w:rPr>
          <w:noProof/>
        </w:rPr>
      </w:pPr>
      <w:hyperlink w:anchor="_Toc25873" w:history="1">
        <w:r w:rsidR="009641F6">
          <w:rPr>
            <w:rFonts w:ascii="彩虹粗仿宋" w:eastAsia="彩虹粗仿宋" w:hint="eastAsia"/>
            <w:noProof/>
          </w:rPr>
          <w:t>十、基金信息披露</w:t>
        </w:r>
        <w:r w:rsidR="009641F6">
          <w:rPr>
            <w:noProof/>
          </w:rPr>
          <w:tab/>
        </w:r>
        <w:r w:rsidR="009641F6">
          <w:rPr>
            <w:noProof/>
          </w:rPr>
          <w:fldChar w:fldCharType="begin"/>
        </w:r>
        <w:r w:rsidR="009641F6">
          <w:rPr>
            <w:noProof/>
          </w:rPr>
          <w:instrText xml:space="preserve"> PAGEREF _Toc25873 \h </w:instrText>
        </w:r>
        <w:r w:rsidR="009641F6">
          <w:rPr>
            <w:noProof/>
          </w:rPr>
        </w:r>
        <w:r w:rsidR="009641F6">
          <w:rPr>
            <w:noProof/>
          </w:rPr>
          <w:fldChar w:fldCharType="separate"/>
        </w:r>
        <w:r w:rsidR="00A615F1">
          <w:rPr>
            <w:noProof/>
          </w:rPr>
          <w:t>39</w:t>
        </w:r>
        <w:r w:rsidR="009641F6">
          <w:rPr>
            <w:noProof/>
          </w:rPr>
          <w:fldChar w:fldCharType="end"/>
        </w:r>
      </w:hyperlink>
    </w:p>
    <w:p w14:paraId="211DA602" w14:textId="77777777" w:rsidR="00C74F7E" w:rsidRDefault="001023D2">
      <w:pPr>
        <w:pStyle w:val="20"/>
        <w:tabs>
          <w:tab w:val="right" w:leader="dot" w:pos="8306"/>
        </w:tabs>
        <w:rPr>
          <w:noProof/>
        </w:rPr>
      </w:pPr>
      <w:hyperlink w:anchor="_Toc8284" w:history="1">
        <w:r w:rsidR="009641F6">
          <w:rPr>
            <w:rFonts w:ascii="彩虹粗仿宋" w:eastAsia="彩虹粗仿宋" w:hint="eastAsia"/>
            <w:noProof/>
          </w:rPr>
          <w:t>十一、基金费用</w:t>
        </w:r>
        <w:r w:rsidR="009641F6">
          <w:rPr>
            <w:noProof/>
          </w:rPr>
          <w:tab/>
        </w:r>
        <w:r w:rsidR="009641F6">
          <w:rPr>
            <w:noProof/>
          </w:rPr>
          <w:fldChar w:fldCharType="begin"/>
        </w:r>
        <w:r w:rsidR="009641F6">
          <w:rPr>
            <w:noProof/>
          </w:rPr>
          <w:instrText xml:space="preserve"> PAGEREF _Toc8284 \h </w:instrText>
        </w:r>
        <w:r w:rsidR="009641F6">
          <w:rPr>
            <w:noProof/>
          </w:rPr>
        </w:r>
        <w:r w:rsidR="009641F6">
          <w:rPr>
            <w:noProof/>
          </w:rPr>
          <w:fldChar w:fldCharType="separate"/>
        </w:r>
        <w:r w:rsidR="00A615F1">
          <w:rPr>
            <w:noProof/>
          </w:rPr>
          <w:t>42</w:t>
        </w:r>
        <w:r w:rsidR="009641F6">
          <w:rPr>
            <w:noProof/>
          </w:rPr>
          <w:fldChar w:fldCharType="end"/>
        </w:r>
      </w:hyperlink>
    </w:p>
    <w:p w14:paraId="09765300" w14:textId="77777777" w:rsidR="00C74F7E" w:rsidRDefault="001023D2">
      <w:pPr>
        <w:pStyle w:val="20"/>
        <w:tabs>
          <w:tab w:val="right" w:leader="dot" w:pos="8306"/>
        </w:tabs>
        <w:rPr>
          <w:noProof/>
        </w:rPr>
      </w:pPr>
      <w:hyperlink w:anchor="_Toc30550" w:history="1">
        <w:r w:rsidR="009641F6">
          <w:rPr>
            <w:rFonts w:ascii="彩虹粗仿宋" w:eastAsia="彩虹粗仿宋" w:hint="eastAsia"/>
            <w:noProof/>
          </w:rPr>
          <w:t>十二、基金份额持有人</w:t>
        </w:r>
        <w:r w:rsidR="009641F6">
          <w:rPr>
            <w:rFonts w:ascii="彩虹粗仿宋" w:eastAsia="彩虹粗仿宋" w:hint="eastAsia"/>
            <w:noProof/>
          </w:rPr>
          <w:t>名</w:t>
        </w:r>
        <w:r w:rsidR="009641F6">
          <w:rPr>
            <w:rFonts w:ascii="彩虹粗仿宋" w:eastAsia="彩虹粗仿宋" w:hint="eastAsia"/>
            <w:noProof/>
          </w:rPr>
          <w:t>册的保管</w:t>
        </w:r>
        <w:r w:rsidR="009641F6">
          <w:rPr>
            <w:noProof/>
          </w:rPr>
          <w:tab/>
        </w:r>
        <w:r w:rsidR="009641F6">
          <w:rPr>
            <w:noProof/>
          </w:rPr>
          <w:fldChar w:fldCharType="begin"/>
        </w:r>
        <w:r w:rsidR="009641F6">
          <w:rPr>
            <w:noProof/>
          </w:rPr>
          <w:instrText xml:space="preserve"> PAGEREF _Toc30550 \h </w:instrText>
        </w:r>
        <w:r w:rsidR="009641F6">
          <w:rPr>
            <w:noProof/>
          </w:rPr>
        </w:r>
        <w:r w:rsidR="009641F6">
          <w:rPr>
            <w:noProof/>
          </w:rPr>
          <w:fldChar w:fldCharType="separate"/>
        </w:r>
        <w:r w:rsidR="00A615F1">
          <w:rPr>
            <w:noProof/>
          </w:rPr>
          <w:t>45</w:t>
        </w:r>
        <w:r w:rsidR="009641F6">
          <w:rPr>
            <w:noProof/>
          </w:rPr>
          <w:fldChar w:fldCharType="end"/>
        </w:r>
      </w:hyperlink>
    </w:p>
    <w:p w14:paraId="1B5AEA4A" w14:textId="77777777" w:rsidR="00C74F7E" w:rsidRDefault="001023D2">
      <w:pPr>
        <w:pStyle w:val="20"/>
        <w:tabs>
          <w:tab w:val="right" w:leader="dot" w:pos="8306"/>
        </w:tabs>
        <w:rPr>
          <w:noProof/>
        </w:rPr>
      </w:pPr>
      <w:hyperlink w:anchor="_Toc25035" w:history="1">
        <w:r w:rsidR="009641F6">
          <w:rPr>
            <w:rFonts w:ascii="彩虹粗仿宋" w:eastAsia="彩虹粗仿宋" w:hint="eastAsia"/>
            <w:noProof/>
          </w:rPr>
          <w:t>十三、基金有关文件档案的保存</w:t>
        </w:r>
        <w:r w:rsidR="009641F6">
          <w:rPr>
            <w:noProof/>
          </w:rPr>
          <w:tab/>
        </w:r>
        <w:r w:rsidR="009641F6">
          <w:rPr>
            <w:noProof/>
          </w:rPr>
          <w:fldChar w:fldCharType="begin"/>
        </w:r>
        <w:r w:rsidR="009641F6">
          <w:rPr>
            <w:noProof/>
          </w:rPr>
          <w:instrText xml:space="preserve"> PAGEREF _Toc25035 \h </w:instrText>
        </w:r>
        <w:r w:rsidR="009641F6">
          <w:rPr>
            <w:noProof/>
          </w:rPr>
        </w:r>
        <w:r w:rsidR="009641F6">
          <w:rPr>
            <w:noProof/>
          </w:rPr>
          <w:fldChar w:fldCharType="separate"/>
        </w:r>
        <w:r w:rsidR="00A615F1">
          <w:rPr>
            <w:noProof/>
          </w:rPr>
          <w:t>45</w:t>
        </w:r>
        <w:r w:rsidR="009641F6">
          <w:rPr>
            <w:noProof/>
          </w:rPr>
          <w:fldChar w:fldCharType="end"/>
        </w:r>
      </w:hyperlink>
    </w:p>
    <w:p w14:paraId="09DAD0B5" w14:textId="77777777" w:rsidR="00C74F7E" w:rsidRDefault="001023D2">
      <w:pPr>
        <w:pStyle w:val="20"/>
        <w:tabs>
          <w:tab w:val="right" w:leader="dot" w:pos="8306"/>
        </w:tabs>
        <w:rPr>
          <w:noProof/>
        </w:rPr>
      </w:pPr>
      <w:hyperlink w:anchor="_Toc30324" w:history="1">
        <w:r w:rsidR="009641F6">
          <w:rPr>
            <w:rFonts w:ascii="彩虹粗仿宋" w:eastAsia="彩虹粗仿宋" w:hint="eastAsia"/>
            <w:noProof/>
          </w:rPr>
          <w:t>十四、基金管理人和基金托管人的更换</w:t>
        </w:r>
        <w:r w:rsidR="009641F6">
          <w:rPr>
            <w:noProof/>
          </w:rPr>
          <w:tab/>
        </w:r>
        <w:r w:rsidR="009641F6">
          <w:rPr>
            <w:noProof/>
          </w:rPr>
          <w:fldChar w:fldCharType="begin"/>
        </w:r>
        <w:r w:rsidR="009641F6">
          <w:rPr>
            <w:noProof/>
          </w:rPr>
          <w:instrText xml:space="preserve"> PAGEREF _Toc30324 \h </w:instrText>
        </w:r>
        <w:r w:rsidR="009641F6">
          <w:rPr>
            <w:noProof/>
          </w:rPr>
        </w:r>
        <w:r w:rsidR="009641F6">
          <w:rPr>
            <w:noProof/>
          </w:rPr>
          <w:fldChar w:fldCharType="separate"/>
        </w:r>
        <w:r w:rsidR="00A615F1">
          <w:rPr>
            <w:noProof/>
          </w:rPr>
          <w:t>46</w:t>
        </w:r>
        <w:r w:rsidR="009641F6">
          <w:rPr>
            <w:noProof/>
          </w:rPr>
          <w:fldChar w:fldCharType="end"/>
        </w:r>
      </w:hyperlink>
    </w:p>
    <w:p w14:paraId="2A856F98" w14:textId="77777777" w:rsidR="00C74F7E" w:rsidRDefault="001023D2">
      <w:pPr>
        <w:pStyle w:val="20"/>
        <w:tabs>
          <w:tab w:val="right" w:leader="dot" w:pos="8306"/>
        </w:tabs>
        <w:rPr>
          <w:noProof/>
        </w:rPr>
      </w:pPr>
      <w:hyperlink w:anchor="_Toc5585" w:history="1">
        <w:r w:rsidR="009641F6">
          <w:rPr>
            <w:rFonts w:ascii="彩虹粗仿宋" w:eastAsia="彩虹粗仿宋" w:hint="eastAsia"/>
            <w:noProof/>
          </w:rPr>
          <w:t>十五、禁止行为</w:t>
        </w:r>
        <w:r w:rsidR="009641F6">
          <w:rPr>
            <w:noProof/>
          </w:rPr>
          <w:tab/>
        </w:r>
        <w:r w:rsidR="009641F6">
          <w:rPr>
            <w:noProof/>
          </w:rPr>
          <w:fldChar w:fldCharType="begin"/>
        </w:r>
        <w:r w:rsidR="009641F6">
          <w:rPr>
            <w:noProof/>
          </w:rPr>
          <w:instrText xml:space="preserve"> PAGEREF _Toc5585 \h </w:instrText>
        </w:r>
        <w:r w:rsidR="009641F6">
          <w:rPr>
            <w:noProof/>
          </w:rPr>
        </w:r>
        <w:r w:rsidR="009641F6">
          <w:rPr>
            <w:noProof/>
          </w:rPr>
          <w:fldChar w:fldCharType="separate"/>
        </w:r>
        <w:r w:rsidR="00A615F1">
          <w:rPr>
            <w:noProof/>
          </w:rPr>
          <w:t>49</w:t>
        </w:r>
        <w:r w:rsidR="009641F6">
          <w:rPr>
            <w:noProof/>
          </w:rPr>
          <w:fldChar w:fldCharType="end"/>
        </w:r>
      </w:hyperlink>
    </w:p>
    <w:p w14:paraId="5C16EAC4" w14:textId="77777777" w:rsidR="00C74F7E" w:rsidRDefault="001023D2">
      <w:pPr>
        <w:pStyle w:val="20"/>
        <w:tabs>
          <w:tab w:val="right" w:leader="dot" w:pos="8306"/>
        </w:tabs>
        <w:rPr>
          <w:noProof/>
        </w:rPr>
      </w:pPr>
      <w:hyperlink w:anchor="_Toc21342" w:history="1">
        <w:r w:rsidR="009641F6">
          <w:rPr>
            <w:rFonts w:ascii="彩虹粗仿宋" w:eastAsia="彩虹粗仿宋" w:hint="eastAsia"/>
            <w:noProof/>
          </w:rPr>
          <w:t>十六、托管协议的变更、终止</w:t>
        </w:r>
        <w:r w:rsidR="009641F6">
          <w:rPr>
            <w:rFonts w:ascii="彩虹粗仿宋" w:eastAsia="彩虹粗仿宋" w:hint="eastAsia"/>
            <w:noProof/>
          </w:rPr>
          <w:t>与</w:t>
        </w:r>
        <w:r w:rsidR="009641F6">
          <w:rPr>
            <w:rFonts w:ascii="彩虹粗仿宋" w:eastAsia="彩虹粗仿宋" w:hint="eastAsia"/>
            <w:noProof/>
          </w:rPr>
          <w:t>基金财产的清算</w:t>
        </w:r>
        <w:r w:rsidR="009641F6">
          <w:rPr>
            <w:noProof/>
          </w:rPr>
          <w:tab/>
        </w:r>
        <w:r w:rsidR="009641F6">
          <w:rPr>
            <w:noProof/>
          </w:rPr>
          <w:fldChar w:fldCharType="begin"/>
        </w:r>
        <w:r w:rsidR="009641F6">
          <w:rPr>
            <w:noProof/>
          </w:rPr>
          <w:instrText xml:space="preserve"> PAGEREF _Toc21342 \h </w:instrText>
        </w:r>
        <w:r w:rsidR="009641F6">
          <w:rPr>
            <w:noProof/>
          </w:rPr>
        </w:r>
        <w:r w:rsidR="009641F6">
          <w:rPr>
            <w:noProof/>
          </w:rPr>
          <w:fldChar w:fldCharType="separate"/>
        </w:r>
        <w:r w:rsidR="00A615F1">
          <w:rPr>
            <w:noProof/>
          </w:rPr>
          <w:t>51</w:t>
        </w:r>
        <w:r w:rsidR="009641F6">
          <w:rPr>
            <w:noProof/>
          </w:rPr>
          <w:fldChar w:fldCharType="end"/>
        </w:r>
      </w:hyperlink>
    </w:p>
    <w:p w14:paraId="76394528" w14:textId="77777777" w:rsidR="00C74F7E" w:rsidRDefault="001023D2">
      <w:pPr>
        <w:pStyle w:val="20"/>
        <w:tabs>
          <w:tab w:val="right" w:leader="dot" w:pos="8306"/>
        </w:tabs>
        <w:rPr>
          <w:noProof/>
        </w:rPr>
      </w:pPr>
      <w:hyperlink w:anchor="_Toc27834" w:history="1">
        <w:r w:rsidR="009641F6">
          <w:rPr>
            <w:rFonts w:ascii="彩虹粗仿宋" w:eastAsia="彩虹粗仿宋" w:hint="eastAsia"/>
            <w:noProof/>
          </w:rPr>
          <w:t>十七、违约责任</w:t>
        </w:r>
        <w:r w:rsidR="009641F6">
          <w:rPr>
            <w:noProof/>
          </w:rPr>
          <w:tab/>
        </w:r>
        <w:r w:rsidR="009641F6">
          <w:rPr>
            <w:noProof/>
          </w:rPr>
          <w:fldChar w:fldCharType="begin"/>
        </w:r>
        <w:r w:rsidR="009641F6">
          <w:rPr>
            <w:noProof/>
          </w:rPr>
          <w:instrText xml:space="preserve"> PAGEREF _Toc27834 \h </w:instrText>
        </w:r>
        <w:r w:rsidR="009641F6">
          <w:rPr>
            <w:noProof/>
          </w:rPr>
        </w:r>
        <w:r w:rsidR="009641F6">
          <w:rPr>
            <w:noProof/>
          </w:rPr>
          <w:fldChar w:fldCharType="separate"/>
        </w:r>
        <w:r w:rsidR="00A615F1">
          <w:rPr>
            <w:noProof/>
          </w:rPr>
          <w:t>53</w:t>
        </w:r>
        <w:r w:rsidR="009641F6">
          <w:rPr>
            <w:noProof/>
          </w:rPr>
          <w:fldChar w:fldCharType="end"/>
        </w:r>
      </w:hyperlink>
    </w:p>
    <w:p w14:paraId="0E1EF536" w14:textId="77777777" w:rsidR="00C74F7E" w:rsidRDefault="001023D2">
      <w:pPr>
        <w:pStyle w:val="20"/>
        <w:tabs>
          <w:tab w:val="right" w:leader="dot" w:pos="8306"/>
        </w:tabs>
        <w:rPr>
          <w:noProof/>
        </w:rPr>
      </w:pPr>
      <w:hyperlink w:anchor="_Toc31693" w:history="1">
        <w:r w:rsidR="009641F6">
          <w:rPr>
            <w:rFonts w:ascii="彩虹粗仿宋" w:eastAsia="彩虹粗仿宋" w:hint="eastAsia"/>
            <w:noProof/>
          </w:rPr>
          <w:t>十八、争议解决方式</w:t>
        </w:r>
        <w:r w:rsidR="009641F6">
          <w:rPr>
            <w:noProof/>
          </w:rPr>
          <w:tab/>
        </w:r>
        <w:r w:rsidR="009641F6">
          <w:rPr>
            <w:noProof/>
          </w:rPr>
          <w:fldChar w:fldCharType="begin"/>
        </w:r>
        <w:r w:rsidR="009641F6">
          <w:rPr>
            <w:noProof/>
          </w:rPr>
          <w:instrText xml:space="preserve"> PAGEREF _Toc31693 \h </w:instrText>
        </w:r>
        <w:r w:rsidR="009641F6">
          <w:rPr>
            <w:noProof/>
          </w:rPr>
        </w:r>
        <w:r w:rsidR="009641F6">
          <w:rPr>
            <w:noProof/>
          </w:rPr>
          <w:fldChar w:fldCharType="separate"/>
        </w:r>
        <w:r w:rsidR="00A615F1">
          <w:rPr>
            <w:noProof/>
          </w:rPr>
          <w:t>54</w:t>
        </w:r>
        <w:r w:rsidR="009641F6">
          <w:rPr>
            <w:noProof/>
          </w:rPr>
          <w:fldChar w:fldCharType="end"/>
        </w:r>
      </w:hyperlink>
    </w:p>
    <w:p w14:paraId="54B1DED3" w14:textId="77777777" w:rsidR="00C74F7E" w:rsidRDefault="001023D2">
      <w:pPr>
        <w:pStyle w:val="20"/>
        <w:tabs>
          <w:tab w:val="right" w:leader="dot" w:pos="8306"/>
        </w:tabs>
        <w:rPr>
          <w:noProof/>
        </w:rPr>
      </w:pPr>
      <w:hyperlink w:anchor="_Toc2444" w:history="1">
        <w:r w:rsidR="009641F6">
          <w:rPr>
            <w:rFonts w:ascii="彩虹粗仿宋" w:eastAsia="彩虹粗仿宋" w:hint="eastAsia"/>
            <w:noProof/>
          </w:rPr>
          <w:t>十九、托管协议的效力</w:t>
        </w:r>
        <w:r w:rsidR="009641F6">
          <w:rPr>
            <w:noProof/>
          </w:rPr>
          <w:tab/>
        </w:r>
        <w:r w:rsidR="009641F6">
          <w:rPr>
            <w:noProof/>
          </w:rPr>
          <w:fldChar w:fldCharType="begin"/>
        </w:r>
        <w:r w:rsidR="009641F6">
          <w:rPr>
            <w:noProof/>
          </w:rPr>
          <w:instrText xml:space="preserve"> PAGEREF _Toc2444 \h </w:instrText>
        </w:r>
        <w:r w:rsidR="009641F6">
          <w:rPr>
            <w:noProof/>
          </w:rPr>
        </w:r>
        <w:r w:rsidR="009641F6">
          <w:rPr>
            <w:noProof/>
          </w:rPr>
          <w:fldChar w:fldCharType="separate"/>
        </w:r>
        <w:r w:rsidR="00A615F1">
          <w:rPr>
            <w:noProof/>
          </w:rPr>
          <w:t>55</w:t>
        </w:r>
        <w:r w:rsidR="009641F6">
          <w:rPr>
            <w:noProof/>
          </w:rPr>
          <w:fldChar w:fldCharType="end"/>
        </w:r>
      </w:hyperlink>
    </w:p>
    <w:p w14:paraId="46BE260F" w14:textId="77777777" w:rsidR="00C74F7E" w:rsidRDefault="001023D2">
      <w:pPr>
        <w:pStyle w:val="20"/>
        <w:tabs>
          <w:tab w:val="right" w:leader="dot" w:pos="8306"/>
        </w:tabs>
        <w:rPr>
          <w:noProof/>
        </w:rPr>
      </w:pPr>
      <w:hyperlink w:anchor="_Toc2586" w:history="1">
        <w:r w:rsidR="009641F6">
          <w:rPr>
            <w:rFonts w:ascii="彩虹粗仿宋" w:eastAsia="彩虹粗仿宋" w:hint="eastAsia"/>
            <w:noProof/>
          </w:rPr>
          <w:t>二十、其他事项</w:t>
        </w:r>
        <w:r w:rsidR="009641F6">
          <w:rPr>
            <w:noProof/>
          </w:rPr>
          <w:tab/>
        </w:r>
        <w:r w:rsidR="009641F6">
          <w:rPr>
            <w:noProof/>
          </w:rPr>
          <w:fldChar w:fldCharType="begin"/>
        </w:r>
        <w:r w:rsidR="009641F6">
          <w:rPr>
            <w:noProof/>
          </w:rPr>
          <w:instrText xml:space="preserve"> PAGEREF _Toc2586 \h </w:instrText>
        </w:r>
        <w:r w:rsidR="009641F6">
          <w:rPr>
            <w:noProof/>
          </w:rPr>
        </w:r>
        <w:r w:rsidR="009641F6">
          <w:rPr>
            <w:noProof/>
          </w:rPr>
          <w:fldChar w:fldCharType="separate"/>
        </w:r>
        <w:r w:rsidR="00A615F1">
          <w:rPr>
            <w:noProof/>
          </w:rPr>
          <w:t>55</w:t>
        </w:r>
        <w:r w:rsidR="009641F6">
          <w:rPr>
            <w:noProof/>
          </w:rPr>
          <w:fldChar w:fldCharType="end"/>
        </w:r>
      </w:hyperlink>
    </w:p>
    <w:p w14:paraId="07C6EC63" w14:textId="77777777" w:rsidR="00C74F7E" w:rsidRDefault="001023D2">
      <w:pPr>
        <w:pStyle w:val="20"/>
        <w:tabs>
          <w:tab w:val="right" w:leader="dot" w:pos="8306"/>
        </w:tabs>
        <w:rPr>
          <w:noProof/>
        </w:rPr>
      </w:pPr>
      <w:hyperlink w:anchor="_Toc15103" w:history="1">
        <w:r w:rsidR="009641F6">
          <w:rPr>
            <w:rFonts w:ascii="彩虹粗仿宋" w:eastAsia="彩虹粗仿宋" w:hint="eastAsia"/>
            <w:noProof/>
          </w:rPr>
          <w:t>二十一、托管协议的签订</w:t>
        </w:r>
        <w:r w:rsidR="009641F6">
          <w:rPr>
            <w:noProof/>
          </w:rPr>
          <w:tab/>
        </w:r>
        <w:r w:rsidR="009641F6">
          <w:rPr>
            <w:noProof/>
          </w:rPr>
          <w:fldChar w:fldCharType="begin"/>
        </w:r>
        <w:r w:rsidR="009641F6">
          <w:rPr>
            <w:noProof/>
          </w:rPr>
          <w:instrText xml:space="preserve"> PAGEREF _Toc15103 \h </w:instrText>
        </w:r>
        <w:r w:rsidR="009641F6">
          <w:rPr>
            <w:noProof/>
          </w:rPr>
        </w:r>
        <w:r w:rsidR="009641F6">
          <w:rPr>
            <w:noProof/>
          </w:rPr>
          <w:fldChar w:fldCharType="separate"/>
        </w:r>
        <w:r w:rsidR="00A615F1">
          <w:rPr>
            <w:noProof/>
          </w:rPr>
          <w:t>55</w:t>
        </w:r>
        <w:r w:rsidR="009641F6">
          <w:rPr>
            <w:noProof/>
          </w:rPr>
          <w:fldChar w:fldCharType="end"/>
        </w:r>
      </w:hyperlink>
    </w:p>
    <w:p w14:paraId="75674AC2" w14:textId="77777777" w:rsidR="00C74F7E" w:rsidRDefault="009641F6">
      <w:pPr>
        <w:spacing w:line="360" w:lineRule="auto"/>
        <w:rPr>
          <w:rFonts w:ascii="彩虹粗仿宋" w:eastAsia="彩虹粗仿宋"/>
          <w:sz w:val="24"/>
        </w:rPr>
      </w:pPr>
      <w:r>
        <w:rPr>
          <w:rFonts w:ascii="彩虹粗仿宋" w:eastAsia="彩虹粗仿宋" w:hAnsi="宋体" w:hint="eastAsia"/>
          <w:sz w:val="28"/>
          <w:szCs w:val="28"/>
        </w:rPr>
        <w:lastRenderedPageBreak/>
        <w:fldChar w:fldCharType="end"/>
      </w:r>
    </w:p>
    <w:p w14:paraId="16ABE88B" w14:textId="77777777" w:rsidR="00C74F7E" w:rsidRDefault="009641F6" w:rsidP="0075099A">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信达澳亚基金管理有限公司系一家依照中国法律合法成立并有效存续的有限责任公司，按照相关法律法规的规定具备担任基金管理人的资格和能力，拟募集发行信澳鑫丰债券型证券投资基金（以下简称“本基金”）；</w:t>
      </w:r>
    </w:p>
    <w:p w14:paraId="5C04DDE8" w14:textId="77777777" w:rsidR="00C74F7E" w:rsidRDefault="009641F6">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1C1FD13" w14:textId="77777777" w:rsidR="00C74F7E" w:rsidRDefault="009641F6">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鉴于信达澳亚基金管理有限公司拟担任信澳鑫丰债券型证券投资基金的基金管理人，中国建设银行股份有限公司拟担任信澳鑫丰债券型证券投资基金的基金托管人；</w:t>
      </w:r>
    </w:p>
    <w:p w14:paraId="4A169C0A" w14:textId="77777777" w:rsidR="00C74F7E" w:rsidRDefault="009641F6">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为明确信澳鑫丰债券型证券投资基金的基金管理人和基金托管人之间的权利义务关系，特制订本托管协议；</w:t>
      </w:r>
    </w:p>
    <w:p w14:paraId="606D192D" w14:textId="77777777" w:rsidR="00C74F7E" w:rsidRDefault="009641F6">
      <w:pPr>
        <w:widowControl/>
        <w:adjustRightInd w:val="0"/>
        <w:snapToGrid w:val="0"/>
        <w:spacing w:line="360" w:lineRule="auto"/>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信澳鑫丰债券型证券投资基金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546BC29E" w14:textId="77777777" w:rsidR="00C74F7E" w:rsidRDefault="00C74F7E">
      <w:pPr>
        <w:spacing w:line="360" w:lineRule="auto"/>
        <w:rPr>
          <w:rFonts w:ascii="彩虹粗仿宋" w:eastAsia="彩虹粗仿宋"/>
          <w:sz w:val="24"/>
          <w:lang w:val="en-GB"/>
        </w:rPr>
      </w:pPr>
    </w:p>
    <w:p w14:paraId="4515F71F" w14:textId="77777777" w:rsidR="00C74F7E" w:rsidRDefault="009641F6">
      <w:pPr>
        <w:pStyle w:val="2"/>
        <w:spacing w:before="0" w:after="0" w:line="360" w:lineRule="auto"/>
        <w:jc w:val="center"/>
        <w:rPr>
          <w:rFonts w:ascii="彩虹粗仿宋" w:eastAsia="彩虹粗仿宋"/>
        </w:rPr>
      </w:pPr>
      <w:bookmarkStart w:id="1" w:name="_Toc21071"/>
      <w:bookmarkStart w:id="2" w:name="_Toc10194"/>
      <w:bookmarkStart w:id="3" w:name="_Toc7350"/>
      <w:bookmarkStart w:id="4" w:name="_Toc78446123"/>
      <w:r>
        <w:rPr>
          <w:rFonts w:ascii="彩虹粗仿宋" w:eastAsia="彩虹粗仿宋" w:hint="eastAsia"/>
        </w:rPr>
        <w:t>一、基金托管协议当事人</w:t>
      </w:r>
      <w:bookmarkEnd w:id="1"/>
      <w:bookmarkEnd w:id="2"/>
      <w:bookmarkEnd w:id="3"/>
      <w:bookmarkEnd w:id="4"/>
    </w:p>
    <w:p w14:paraId="76B6444A"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4966B78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名称：信达澳亚基金管理有限公司</w:t>
      </w:r>
    </w:p>
    <w:p w14:paraId="049B9E9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注册地址：深圳市南山区粤海街道海珠社区科苑南路2666号中国华润大厦L1001</w:t>
      </w:r>
    </w:p>
    <w:p w14:paraId="611F096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办公地址：深圳市南山区科苑南路2666号中国华润大厦10层</w:t>
      </w:r>
    </w:p>
    <w:p w14:paraId="7EB971E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518063</w:t>
      </w:r>
    </w:p>
    <w:p w14:paraId="2B5302C2" w14:textId="049530B4"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法定代表人：</w:t>
      </w:r>
      <w:r>
        <w:rPr>
          <w:rFonts w:ascii="彩虹粗仿宋" w:eastAsia="彩虹粗仿宋" w:hAnsi="宋体" w:cs="Arial"/>
          <w:sz w:val="24"/>
        </w:rPr>
        <w:t>方敬</w:t>
      </w:r>
    </w:p>
    <w:p w14:paraId="2A9D988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Fonts w:ascii="彩虹粗仿宋" w:eastAsia="彩虹粗仿宋" w:hAnsi="宋体" w:cs="Arial"/>
          <w:sz w:val="24"/>
        </w:rPr>
        <w:t>2006</w:t>
      </w:r>
      <w:r>
        <w:rPr>
          <w:rFonts w:ascii="彩虹粗仿宋" w:eastAsia="彩虹粗仿宋" w:hAnsi="宋体" w:cs="Arial" w:hint="eastAsia"/>
          <w:sz w:val="24"/>
        </w:rPr>
        <w:t>年</w:t>
      </w:r>
      <w:r>
        <w:rPr>
          <w:rFonts w:ascii="彩虹粗仿宋" w:eastAsia="彩虹粗仿宋" w:hAnsi="宋体" w:cs="Arial"/>
          <w:sz w:val="24"/>
        </w:rPr>
        <w:t>6</w:t>
      </w:r>
      <w:r>
        <w:rPr>
          <w:rFonts w:ascii="彩虹粗仿宋" w:eastAsia="彩虹粗仿宋" w:hAnsi="宋体" w:cs="Arial" w:hint="eastAsia"/>
          <w:sz w:val="24"/>
        </w:rPr>
        <w:t>月</w:t>
      </w:r>
      <w:r>
        <w:rPr>
          <w:rFonts w:ascii="彩虹粗仿宋" w:eastAsia="彩虹粗仿宋" w:hAnsi="宋体" w:cs="Arial"/>
          <w:sz w:val="24"/>
        </w:rPr>
        <w:t>5</w:t>
      </w:r>
      <w:r>
        <w:rPr>
          <w:rFonts w:ascii="彩虹粗仿宋" w:eastAsia="彩虹粗仿宋" w:hAnsi="宋体" w:cs="Arial" w:hint="eastAsia"/>
          <w:sz w:val="24"/>
        </w:rPr>
        <w:t>日</w:t>
      </w:r>
    </w:p>
    <w:p w14:paraId="7AF15AE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批准设立机关及批准设立文号：中国证监会证监基金字</w:t>
      </w:r>
      <w:r>
        <w:rPr>
          <w:sz w:val="24"/>
        </w:rPr>
        <w:t>[2006]071</w:t>
      </w:r>
      <w:r>
        <w:rPr>
          <w:rFonts w:ascii="彩虹粗仿宋" w:eastAsia="彩虹粗仿宋" w:hAnsi="宋体" w:cs="Arial" w:hint="eastAsia"/>
          <w:sz w:val="24"/>
        </w:rPr>
        <w:t>号</w:t>
      </w:r>
    </w:p>
    <w:p w14:paraId="1838D39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14:paraId="571A1DF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注册资本：壹亿元人民币</w:t>
      </w:r>
    </w:p>
    <w:p w14:paraId="1FFBC1C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846BD1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w:t>
      </w:r>
      <w:r>
        <w:rPr>
          <w:rFonts w:ascii="彩虹粗仿宋" w:eastAsia="彩虹粗仿宋" w:hAnsi="宋体" w:cs="Arial"/>
          <w:sz w:val="24"/>
        </w:rPr>
        <w:t>基金募集、基金销售、资产管理和中国证监会许可的其他业务</w:t>
      </w:r>
    </w:p>
    <w:p w14:paraId="6CD149F0"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14:paraId="340E5E9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264ECD8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38304AC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2FB182B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47F193AE" w14:textId="6A7A1BD1"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19BB603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465F37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5" w:name="OLE_LINK3"/>
      <w:r>
        <w:rPr>
          <w:rFonts w:ascii="彩虹粗仿宋" w:eastAsia="彩虹粗仿宋" w:hAnsi="宋体" w:cs="Arial" w:hint="eastAsia"/>
          <w:sz w:val="24"/>
        </w:rPr>
        <w:t>]</w:t>
      </w:r>
      <w:bookmarkEnd w:id="5"/>
      <w:r>
        <w:rPr>
          <w:rFonts w:ascii="彩虹粗仿宋" w:eastAsia="彩虹粗仿宋" w:hAnsi="宋体" w:cs="Arial" w:hint="eastAsia"/>
          <w:sz w:val="24"/>
        </w:rPr>
        <w:t>12号</w:t>
      </w:r>
    </w:p>
    <w:p w14:paraId="1639265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2981C8B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注册资本：贰仟伍佰亿壹仟零玖拾柒万柒仟肆佰捌拾陆元整</w:t>
      </w:r>
    </w:p>
    <w:p w14:paraId="72FD721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000EA7E3" w14:textId="77777777" w:rsidR="00C74F7E" w:rsidRDefault="009641F6">
      <w:pPr>
        <w:tabs>
          <w:tab w:val="left" w:pos="540"/>
        </w:tabs>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Pr>
          <w:rFonts w:ascii="彩虹粗仿宋" w:eastAsia="彩虹粗仿宋" w:hAnsi="宋体" w:cs="Arial" w:hint="eastAsia"/>
          <w:sz w:val="24"/>
        </w:rPr>
        <w:lastRenderedPageBreak/>
        <w:t>国银行业监督管理机构等监管部门批准的其他业务。</w:t>
      </w:r>
    </w:p>
    <w:p w14:paraId="4D4B6689" w14:textId="77777777" w:rsidR="00C74F7E" w:rsidRDefault="00C74F7E">
      <w:pPr>
        <w:spacing w:line="360" w:lineRule="auto"/>
        <w:rPr>
          <w:rFonts w:ascii="彩虹粗仿宋" w:eastAsia="彩虹粗仿宋"/>
          <w:sz w:val="24"/>
        </w:rPr>
      </w:pPr>
    </w:p>
    <w:p w14:paraId="60A98304" w14:textId="77777777" w:rsidR="00C74F7E" w:rsidRDefault="009641F6">
      <w:pPr>
        <w:pStyle w:val="2"/>
        <w:spacing w:before="0" w:after="0" w:line="360" w:lineRule="auto"/>
        <w:jc w:val="center"/>
        <w:rPr>
          <w:rFonts w:ascii="彩虹粗仿宋" w:eastAsia="彩虹粗仿宋"/>
          <w:sz w:val="30"/>
        </w:rPr>
      </w:pPr>
      <w:bookmarkStart w:id="6" w:name="_Toc78446124"/>
      <w:bookmarkStart w:id="7" w:name="_Toc7296"/>
      <w:bookmarkStart w:id="8" w:name="_Toc10833"/>
      <w:bookmarkStart w:id="9" w:name="_Toc16173"/>
      <w:r>
        <w:rPr>
          <w:rFonts w:ascii="彩虹粗仿宋" w:eastAsia="彩虹粗仿宋" w:hint="eastAsia"/>
          <w:sz w:val="30"/>
        </w:rPr>
        <w:t>二、基金托管协议的依据、目的和原则</w:t>
      </w:r>
      <w:bookmarkEnd w:id="6"/>
      <w:bookmarkEnd w:id="7"/>
      <w:bookmarkEnd w:id="8"/>
      <w:bookmarkEnd w:id="9"/>
    </w:p>
    <w:p w14:paraId="6214117C" w14:textId="77777777" w:rsidR="00C74F7E" w:rsidRDefault="009641F6" w:rsidP="0075099A">
      <w:pPr>
        <w:adjustRightInd w:val="0"/>
        <w:snapToGrid w:val="0"/>
        <w:spacing w:line="360" w:lineRule="auto"/>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36EFA48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投资基金法》（以下简称《基金法》）、《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w:t>
      </w:r>
      <w:r>
        <w:rPr>
          <w:rFonts w:ascii="彩虹粗仿宋" w:eastAsia="彩虹粗仿宋" w:hAnsi="宋体" w:cs="Arial" w:hint="eastAsia"/>
          <w:kern w:val="0"/>
          <w:sz w:val="24"/>
          <w:lang w:val="en-GB"/>
        </w:rPr>
        <w:t>（以下简称《流动性风险规定》）</w:t>
      </w:r>
      <w:r>
        <w:rPr>
          <w:rFonts w:ascii="彩虹粗仿宋" w:eastAsia="彩虹粗仿宋" w:hAnsi="宋体" w:cs="Arial" w:hint="eastAsia"/>
          <w:sz w:val="24"/>
        </w:rPr>
        <w:t>、《</w:t>
      </w:r>
      <w:r>
        <w:rPr>
          <w:rFonts w:ascii="彩虹粗仿宋" w:eastAsia="彩虹粗仿宋" w:hAnsi="宋体" w:cs="Arial" w:hint="eastAsia"/>
          <w:kern w:val="0"/>
          <w:sz w:val="24"/>
        </w:rPr>
        <w:t>信澳鑫丰债券型证券投资基金</w:t>
      </w:r>
      <w:r>
        <w:rPr>
          <w:rFonts w:ascii="彩虹粗仿宋" w:eastAsia="彩虹粗仿宋" w:hAnsi="宋体" w:cs="Arial" w:hint="eastAsia"/>
          <w:kern w:val="0"/>
          <w:sz w:val="24"/>
          <w:lang w:val="en-GB"/>
        </w:rPr>
        <w:t>基金合同</w:t>
      </w:r>
      <w:r>
        <w:rPr>
          <w:rFonts w:ascii="彩虹粗仿宋" w:eastAsia="彩虹粗仿宋" w:hAnsi="宋体" w:cs="Arial" w:hint="eastAsia"/>
          <w:sz w:val="24"/>
        </w:rPr>
        <w:t>》（以下简称《基金合同》）及其他有关规定订立。</w:t>
      </w:r>
    </w:p>
    <w:p w14:paraId="2286B64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250B1A88" w14:textId="77777777" w:rsidR="00C74F7E" w:rsidRDefault="009641F6">
      <w:pPr>
        <w:adjustRightInd w:val="0"/>
        <w:snapToGrid w:val="0"/>
        <w:spacing w:line="360" w:lineRule="auto"/>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605A65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11CBA77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4CE40866" w14:textId="77777777" w:rsidR="00C74F7E" w:rsidRDefault="00C74F7E">
      <w:pPr>
        <w:spacing w:line="360" w:lineRule="auto"/>
        <w:rPr>
          <w:rFonts w:ascii="彩虹粗仿宋" w:eastAsia="彩虹粗仿宋"/>
          <w:sz w:val="24"/>
        </w:rPr>
      </w:pPr>
    </w:p>
    <w:p w14:paraId="6323032D" w14:textId="77777777" w:rsidR="00C74F7E" w:rsidRDefault="009641F6">
      <w:pPr>
        <w:pStyle w:val="2"/>
        <w:spacing w:before="0" w:after="0" w:line="360" w:lineRule="auto"/>
        <w:jc w:val="center"/>
        <w:rPr>
          <w:rFonts w:ascii="彩虹粗仿宋" w:eastAsia="彩虹粗仿宋"/>
          <w:sz w:val="30"/>
          <w:szCs w:val="24"/>
        </w:rPr>
      </w:pPr>
      <w:bookmarkStart w:id="10" w:name="_Toc15774"/>
      <w:bookmarkStart w:id="11" w:name="_Toc78446125"/>
      <w:bookmarkStart w:id="12" w:name="_Toc16849"/>
      <w:bookmarkStart w:id="13" w:name="_Toc4725"/>
      <w:r>
        <w:rPr>
          <w:rFonts w:ascii="彩虹粗仿宋" w:eastAsia="彩虹粗仿宋" w:hint="eastAsia"/>
          <w:sz w:val="30"/>
        </w:rPr>
        <w:t>三、基金托管人对基金管理人的业务监督和核查</w:t>
      </w:r>
      <w:bookmarkEnd w:id="10"/>
      <w:bookmarkEnd w:id="11"/>
      <w:bookmarkEnd w:id="12"/>
      <w:bookmarkEnd w:id="13"/>
    </w:p>
    <w:p w14:paraId="513DB22F" w14:textId="2D976AED" w:rsidR="00C74F7E" w:rsidRDefault="009641F6" w:rsidP="0075099A">
      <w:pPr>
        <w:adjustRightInd w:val="0"/>
        <w:snapToGrid w:val="0"/>
        <w:spacing w:line="360" w:lineRule="auto"/>
        <w:ind w:firstLineChars="200" w:firstLine="480"/>
        <w:rPr>
          <w:rFonts w:ascii="彩虹粗仿宋" w:eastAsia="彩虹粗仿宋" w:hAnsi="宋体" w:cs="Arial"/>
          <w:sz w:val="24"/>
        </w:rPr>
      </w:pPr>
      <w:bookmarkStart w:id="14" w:name="OLE_LINK1"/>
      <w:bookmarkStart w:id="15" w:name="OLE_LINK2"/>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w:t>
      </w:r>
      <w:r>
        <w:rPr>
          <w:rFonts w:ascii="彩虹粗仿宋" w:eastAsia="彩虹粗仿宋" w:hAnsi="宋体" w:cs="Arial" w:hint="eastAsia"/>
          <w:sz w:val="24"/>
        </w:rPr>
        <w:lastRenderedPageBreak/>
        <w:t>标准的，基金管理人应按照基金托管人要求的格式，将拟投资的标的证券库提供给基金托管人，基金管理人可以根据实际情况的变化，对</w:t>
      </w:r>
      <w:r w:rsidR="00A912D9">
        <w:rPr>
          <w:rFonts w:ascii="彩虹粗仿宋" w:eastAsia="彩虹粗仿宋" w:hAnsi="宋体" w:cs="Arial" w:hint="eastAsia"/>
          <w:sz w:val="24"/>
        </w:rPr>
        <w:t>标的证券库</w:t>
      </w:r>
      <w:r>
        <w:rPr>
          <w:rFonts w:ascii="彩虹粗仿宋" w:eastAsia="彩虹粗仿宋" w:hAnsi="宋体" w:cs="Arial" w:hint="eastAsia"/>
          <w:sz w:val="24"/>
        </w:rPr>
        <w:t>予以更新和调整并及时通知基金托管人。基金托管人根据上述投资范围对基金实际投资是否符合《基金合同》关于证券选择标准的约定进行监督。</w:t>
      </w:r>
    </w:p>
    <w:p w14:paraId="46E990F0" w14:textId="77777777" w:rsidR="00C74F7E" w:rsidRDefault="009641F6">
      <w:pPr>
        <w:adjustRightInd w:val="0"/>
        <w:snapToGrid w:val="0"/>
        <w:spacing w:line="360" w:lineRule="auto"/>
        <w:ind w:firstLineChars="200" w:firstLine="480"/>
        <w:rPr>
          <w:rFonts w:ascii="彩虹粗仿宋" w:eastAsia="彩虹粗仿宋" w:hAnsi="宋体" w:cs="Arial"/>
          <w:sz w:val="24"/>
        </w:rPr>
      </w:pPr>
      <w:bookmarkStart w:id="16" w:name="_Hlk212631331"/>
      <w:bookmarkStart w:id="17" w:name="_Hlk40385468"/>
      <w:r>
        <w:rPr>
          <w:rFonts w:ascii="彩虹粗仿宋" w:eastAsia="彩虹粗仿宋" w:hAnsi="宋体" w:cs="Arial" w:hint="eastAsia"/>
          <w:sz w:val="24"/>
        </w:rPr>
        <w:t>本基金的投资范围主要为符合法律法规的金融工具，包括债券（包括国债、地方政府债、金融债、企业债、公司债、公开发行的次级债、可转换债券（含可分离交易可转债）、可交换债券、央行票据、中期票据、短期融资券、超短期融资券）、资产支持证券、债券回购、银行存款、同业存单、货币市场工具、国内依法发行上市的股票（包括创业板及其他依法发行、上市的股票、存托凭证）、港股通标的股票、信用衍生品、国债期货以及法律法规或中国证监会允许基金投资的其他金融工具（但须符合中国证监会的相关规定）。</w:t>
      </w:r>
    </w:p>
    <w:p w14:paraId="45BBAFA6" w14:textId="108D599D"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25BE6891" w14:textId="19B3943C"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对债券的投资比例不低于基金资产的80％，投资于股票（含存托凭证）、可转换债券（含可分离交易可转债）和可交换债券占基金资产的比例为5%-20%（其中投资于港股通标的股票的比例不超过本基金所投资股票资产的50%），且投资于境内股票资产的比例不低于基金资产的5%；每个交易日日终在扣除国债期货合约需缴纳的交易保证金后，保持不低于基金资产净值5%的现金或者到期日在一年以内的政府债券。其中现金不包括结算备付金、存出保证金和应收申购款等。</w:t>
      </w:r>
    </w:p>
    <w:p w14:paraId="72B8D8B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14:paraId="17DD3966"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lastRenderedPageBreak/>
        <w:t>（二）基金托管人根据有关法律法规的规定及《基金合同》的约定，对基金投资比例进行监督。基金托管人按下述比例和调整期限进行监督：</w:t>
      </w:r>
    </w:p>
    <w:p w14:paraId="1CEFBC06"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本基金投资于债券资产的比例不低于基金资产的80%，投资于股票（含存托凭证）、可转换债券（含可分离交易可转债）和可交换债券合计占基金资产的比例范围为5%-20%（其中投资于港股通标的股票的比例不超过本基金所投资股票资产的50%），且投资于境内股票资产的比例不低于基金资产的5%；</w:t>
      </w:r>
    </w:p>
    <w:p w14:paraId="340CEDF9"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（2）本基金每个交易日日终在扣除国债期货合约需缴纳的交易保证金后，应当保持不低于基金资产净值5%的现金或者到期日在一年以内的政府债券，其中现金不包括结算备付金、存出保证金和应收申购款等；</w:t>
      </w:r>
    </w:p>
    <w:p w14:paraId="6F124158"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（3）本基金持有一家公司发行的证券（同一家公司在境内和香港同时上市的A+H股合计计算），其市值不超过基金资产净值的10％；</w:t>
      </w:r>
    </w:p>
    <w:p w14:paraId="2A61CFA5"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（4）本基金管理人管理的且在本基金托管人处托管的全部基金持有一家公司发行的证券（同一家公司在境内和香港同时上市的A+H股合计计算），不超过该证券的10％；</w:t>
      </w:r>
    </w:p>
    <w:p w14:paraId="0567BE64"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14:paraId="77FFC6CF"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w:t>
      </w:r>
    </w:p>
    <w:p w14:paraId="2A7AF427"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14:paraId="49F546DF"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（8）本基金管理人管理的且在本基金托管人处托管的全部基金投资于同一原始权益人的各类资产支持证券，不得超过其各类资产支持证券合计规模的</w:t>
      </w:r>
      <w:r>
        <w:rPr>
          <w:rFonts w:ascii="彩虹粗仿宋" w:eastAsia="彩虹粗仿宋" w:hint="eastAsia"/>
          <w:sz w:val="24"/>
        </w:rPr>
        <w:lastRenderedPageBreak/>
        <w:t>10％；</w:t>
      </w:r>
    </w:p>
    <w:p w14:paraId="61ACB685"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（9）本基金应投资于信用级别评级为AA+级以上(含AA+)的资产支持证券。本基金持有资产支持证券期间，如果其信用等级下降、不再符合投资标准，应在评级报告发布之日起3个月内予以全部卖出；</w:t>
      </w:r>
    </w:p>
    <w:p w14:paraId="39E30088"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14:paraId="549830AE"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（11）本基金资产总值不得超过基金资产净值的140%；</w:t>
      </w:r>
    </w:p>
    <w:p w14:paraId="6D9063CB"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12）本基金主动投资于流动性受限资产的市值合计不得超过基金资产净值的15%；因证券市场波动、上市公司股票停牌、基金规模变动等基金管理人之外的因素致使基金不符合本项所规定比例限制的，基金管理人不得主动新增流动性受限资产的投资；</w:t>
      </w:r>
    </w:p>
    <w:p w14:paraId="575141C1" w14:textId="0E2983BC"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（13）本基金管理人管理的</w:t>
      </w:r>
      <w:r w:rsidR="008A79D9">
        <w:rPr>
          <w:rFonts w:ascii="彩虹粗仿宋" w:eastAsia="彩虹粗仿宋" w:hint="eastAsia"/>
          <w:sz w:val="24"/>
        </w:rPr>
        <w:t>且在本基金托管人处托管的</w:t>
      </w:r>
      <w:r>
        <w:rPr>
          <w:rFonts w:ascii="彩虹粗仿宋" w:eastAsia="彩虹粗仿宋" w:hint="eastAsia"/>
          <w:sz w:val="24"/>
        </w:rPr>
        <w:t>全部开放式基金持有一家上市公司发行的可流通股票，不得超过该上市公司可流通股票的15%；本基金管理人管理的</w:t>
      </w:r>
      <w:r w:rsidR="008A79D9">
        <w:rPr>
          <w:rFonts w:ascii="彩虹粗仿宋" w:eastAsia="彩虹粗仿宋" w:hint="eastAsia"/>
          <w:sz w:val="24"/>
        </w:rPr>
        <w:t>且在本基金托管人处托管的</w:t>
      </w:r>
      <w:r>
        <w:rPr>
          <w:rFonts w:ascii="彩虹粗仿宋" w:eastAsia="彩虹粗仿宋" w:hint="eastAsia"/>
          <w:sz w:val="24"/>
        </w:rPr>
        <w:t>全部投资组合持有一家上市公司发行的可流通股票，不得超过该上市公司可流通股票的30%；</w:t>
      </w:r>
    </w:p>
    <w:p w14:paraId="393C671B" w14:textId="08BCDA8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w:t>
      </w:r>
      <w:r w:rsidR="00A615F1">
        <w:rPr>
          <w:rFonts w:ascii="彩虹粗仿宋" w:eastAsia="彩虹粗仿宋" w:hint="eastAsia"/>
          <w:sz w:val="24"/>
        </w:rPr>
        <w:t>1</w:t>
      </w:r>
      <w:r w:rsidR="00A615F1">
        <w:rPr>
          <w:rFonts w:ascii="彩虹粗仿宋" w:eastAsia="彩虹粗仿宋"/>
          <w:sz w:val="24"/>
        </w:rPr>
        <w:t>4</w:t>
      </w:r>
      <w:r>
        <w:rPr>
          <w:rFonts w:ascii="彩虹粗仿宋" w:eastAsia="彩虹粗仿宋" w:hint="eastAsia"/>
          <w:sz w:val="24"/>
        </w:rPr>
        <w:t>）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 一年以内的政府债券）市值和买入、卖出国债期货合约价值，合计（轧差计算）应当符合基金合同关于债券投资比例的有关约定；</w:t>
      </w:r>
    </w:p>
    <w:p w14:paraId="50212B9E" w14:textId="554FB15C"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lastRenderedPageBreak/>
        <w:t>（</w:t>
      </w:r>
      <w:r w:rsidR="00A615F1">
        <w:rPr>
          <w:rFonts w:ascii="彩虹粗仿宋" w:eastAsia="彩虹粗仿宋" w:hint="eastAsia"/>
          <w:sz w:val="24"/>
        </w:rPr>
        <w:t>1</w:t>
      </w:r>
      <w:r w:rsidR="00A615F1">
        <w:rPr>
          <w:rFonts w:ascii="彩虹粗仿宋" w:eastAsia="彩虹粗仿宋"/>
          <w:sz w:val="24"/>
        </w:rPr>
        <w:t>5</w:t>
      </w:r>
      <w:r>
        <w:rPr>
          <w:rFonts w:ascii="彩虹粗仿宋" w:eastAsia="彩虹粗仿宋" w:hint="eastAsia"/>
          <w:sz w:val="24"/>
        </w:rPr>
        <w:t>）本基金投资存托凭证的比例限制依照境内上市交易的股票执行，与境内上市交易的股票合并计算；</w:t>
      </w:r>
    </w:p>
    <w:p w14:paraId="23933C6B" w14:textId="2FCA6AD4"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w:t>
      </w:r>
      <w:r w:rsidR="00A615F1">
        <w:rPr>
          <w:rFonts w:ascii="彩虹粗仿宋" w:eastAsia="彩虹粗仿宋" w:hint="eastAsia"/>
          <w:sz w:val="24"/>
        </w:rPr>
        <w:t>1</w:t>
      </w:r>
      <w:r w:rsidR="00A615F1">
        <w:rPr>
          <w:rFonts w:ascii="彩虹粗仿宋" w:eastAsia="彩虹粗仿宋"/>
          <w:sz w:val="24"/>
        </w:rPr>
        <w:t>6</w:t>
      </w:r>
      <w:r>
        <w:rPr>
          <w:rFonts w:ascii="彩虹粗仿宋" w:eastAsia="彩虹粗仿宋" w:hint="eastAsia"/>
          <w:sz w:val="24"/>
        </w:rPr>
        <w:t>）法律法规及中国证监会规定的和《基金合同》约定的其他投资限制。</w:t>
      </w:r>
    </w:p>
    <w:p w14:paraId="62819D8D" w14:textId="037120C9"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除上述第（2）、（9）、（12）项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21860B68"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2E705ED0"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法律法规或监管部门取消或变更上述限制，如适用于本基金，基金管理人在履行适当程序后，则本基金投资不再受相关限制或按变更后的规定执行。</w:t>
      </w:r>
      <w:bookmarkEnd w:id="14"/>
      <w:bookmarkEnd w:id="15"/>
    </w:p>
    <w:bookmarkEnd w:id="16"/>
    <w:p w14:paraId="03D099A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（三）基金托管人根据有关法律法规、中国证监会的规定及《基金合同》的约定，对本托管协议第十五条第（九）款基金投资禁止行为通过事后监督方式进行监督。</w:t>
      </w:r>
    </w:p>
    <w:p w14:paraId="4826537B"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Pr>
          <w:rFonts w:ascii="彩虹粗仿宋" w:eastAsia="彩虹粗仿宋" w:hAnsi="宋体" w:cs="Arial" w:hint="eastAsia"/>
          <w:sz w:val="24"/>
        </w:rPr>
        <w:lastRenderedPageBreak/>
        <w:t>上的独立董事通过。基金管理人董事会应至少每半年对关联交易事项进行审查。</w:t>
      </w:r>
      <w:bookmarkEnd w:id="17"/>
    </w:p>
    <w:p w14:paraId="29A6D6D1"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（四）基金托管人根据有关法律法规的规定及《基金合同》的约定，对基金管理人投资流通受限证券进行监督。</w:t>
      </w:r>
    </w:p>
    <w:p w14:paraId="008BD4F0"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0F74B9D5"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C09CE2A"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F36DF8F"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272B5F48"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本基金投资流通受限证券，不得预付任何形式的保证金，若法规有新规定的按照新的规定执行。</w:t>
      </w:r>
    </w:p>
    <w:p w14:paraId="45F325CC"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w:t>
      </w:r>
      <w:r>
        <w:rPr>
          <w:rFonts w:ascii="彩虹粗仿宋" w:eastAsia="彩虹粗仿宋" w:hint="eastAsia"/>
          <w:sz w:val="24"/>
        </w:rPr>
        <w:lastRenderedPageBreak/>
        <w:t>比例限制失调、基金流动性困难以及相关损失的应对解决措施，以及有关异常情况的处置。</w:t>
      </w:r>
    </w:p>
    <w:p w14:paraId="1BFDD861" w14:textId="420FD230"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w:t>
      </w:r>
      <w:r w:rsidR="00A43852">
        <w:rPr>
          <w:rFonts w:ascii="彩虹粗仿宋" w:eastAsia="彩虹粗仿宋" w:hint="eastAsia"/>
          <w:sz w:val="24"/>
        </w:rPr>
        <w:t>所有</w:t>
      </w:r>
      <w:r>
        <w:rPr>
          <w:rFonts w:ascii="彩虹粗仿宋" w:eastAsia="彩虹粗仿宋" w:hint="eastAsia"/>
          <w:sz w:val="24"/>
        </w:rPr>
        <w:t>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462CFD6"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DCC3357"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6DDA47FA"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6A082493"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3</w:t>
      </w:r>
      <w:r>
        <w:rPr>
          <w:rFonts w:ascii="彩虹粗仿宋" w:eastAsia="彩虹粗仿宋" w:hint="eastAsia"/>
          <w:sz w:val="24"/>
        </w:rPr>
        <w:t>）基金拟认购的数量、价格、总成本、账面价值。</w:t>
      </w:r>
    </w:p>
    <w:p w14:paraId="557004D3"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576024C" w14:textId="73FF48B0" w:rsidR="00C74F7E" w:rsidRDefault="009641F6">
      <w:pPr>
        <w:adjustRightInd w:val="0"/>
        <w:snapToGrid w:val="0"/>
        <w:spacing w:line="360" w:lineRule="auto"/>
        <w:ind w:firstLineChars="200" w:firstLine="480"/>
        <w:rPr>
          <w:rFonts w:ascii="彩虹粗仿宋" w:eastAsia="彩虹粗仿宋"/>
          <w:sz w:val="24"/>
        </w:rPr>
      </w:pPr>
      <w:bookmarkStart w:id="18" w:name="OLE_LINK4"/>
      <w:bookmarkStart w:id="19" w:name="OLE_LINK6"/>
      <w:r>
        <w:rPr>
          <w:rFonts w:ascii="彩虹粗仿宋" w:eastAsia="彩虹粗仿宋" w:hint="eastAsia"/>
          <w:sz w:val="24"/>
        </w:rPr>
        <w:t>本基金</w:t>
      </w:r>
      <w:bookmarkStart w:id="20" w:name="OLE_LINK8"/>
      <w:r>
        <w:rPr>
          <w:rFonts w:ascii="彩虹粗仿宋" w:eastAsia="彩虹粗仿宋" w:hint="eastAsia"/>
          <w:sz w:val="24"/>
        </w:rPr>
        <w:t>有关投资流通受限证券比例如违反有关限制规定</w:t>
      </w:r>
      <w:bookmarkEnd w:id="20"/>
      <w:r>
        <w:rPr>
          <w:rFonts w:ascii="彩虹粗仿宋" w:eastAsia="彩虹粗仿宋" w:hint="eastAsia"/>
          <w:sz w:val="24"/>
        </w:rPr>
        <w:t>，在合理期限内未能进行及时调整，基金管理人应在两日内编制临时报告书，予以公告</w:t>
      </w:r>
      <w:bookmarkEnd w:id="18"/>
      <w:r>
        <w:rPr>
          <w:rFonts w:ascii="彩虹粗仿宋" w:eastAsia="彩虹粗仿宋" w:hint="eastAsia"/>
          <w:sz w:val="24"/>
        </w:rPr>
        <w:t>。</w:t>
      </w:r>
    </w:p>
    <w:bookmarkEnd w:id="19"/>
    <w:p w14:paraId="5B42E9CF"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相关法律法规或中国证监会对基金投资流通受限证券有新规定的，从其规</w:t>
      </w:r>
      <w:r>
        <w:rPr>
          <w:rFonts w:ascii="彩虹粗仿宋" w:eastAsia="彩虹粗仿宋" w:hint="eastAsia"/>
          <w:sz w:val="24"/>
        </w:rPr>
        <w:lastRenderedPageBreak/>
        <w:t>定。</w:t>
      </w:r>
    </w:p>
    <w:p w14:paraId="31109FFD" w14:textId="77777777" w:rsidR="00C74F7E" w:rsidRDefault="009641F6">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五）基金托管人应根据有关法律法规、中国证监会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5D67510" w14:textId="1E92A0F9"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w:t>
      </w:r>
      <w:r w:rsidR="0072573F">
        <w:rPr>
          <w:rFonts w:ascii="彩虹粗仿宋" w:eastAsia="彩虹粗仿宋" w:hAnsi="宋体" w:cs="Arial" w:hint="eastAsia"/>
          <w:sz w:val="24"/>
        </w:rPr>
        <w:t>在下一工作日前及时</w:t>
      </w:r>
      <w:r>
        <w:rPr>
          <w:rFonts w:ascii="彩虹粗仿宋" w:eastAsia="彩虹粗仿宋" w:hAnsi="宋体" w:cs="Arial" w:hint="eastAsia"/>
          <w:sz w:val="24"/>
        </w:rPr>
        <w:t>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F55E3F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D167B6D" w14:textId="7A361FF5"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7289ED9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w:t>
      </w:r>
      <w:r>
        <w:rPr>
          <w:rFonts w:ascii="彩虹粗仿宋" w:eastAsia="彩虹粗仿宋" w:hAnsi="宋体" w:cs="Arial" w:hint="eastAsia"/>
          <w:sz w:val="24"/>
        </w:rPr>
        <w:lastRenderedPageBreak/>
        <w:t>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306BE63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十）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366C70B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侧袋机制实施期间，本基金的投资组合比例、投资策略、组合限制、业绩比较基准、风险收益特征等约定仅适用于主袋账户。</w:t>
      </w:r>
    </w:p>
    <w:p w14:paraId="792D5CB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侧袋账户的实施条件、实施程序、运作安排（包括但不限于对基金赎回的影响、信息披露、费用列支等）、投资安排、特定资产的处置变现和支付等对投资者权益有重大影响的事项详见基金合同和招募说明书的规定。</w:t>
      </w:r>
    </w:p>
    <w:p w14:paraId="5C4BE8AC" w14:textId="77777777" w:rsidR="00C74F7E" w:rsidRDefault="00C74F7E">
      <w:pPr>
        <w:spacing w:line="360" w:lineRule="auto"/>
        <w:rPr>
          <w:rFonts w:ascii="彩虹粗仿宋" w:eastAsia="彩虹粗仿宋"/>
          <w:sz w:val="24"/>
        </w:rPr>
      </w:pPr>
    </w:p>
    <w:p w14:paraId="6729EDDE" w14:textId="77777777" w:rsidR="00C74F7E" w:rsidRDefault="009641F6">
      <w:pPr>
        <w:pStyle w:val="2"/>
        <w:spacing w:before="0" w:after="0" w:line="360" w:lineRule="auto"/>
        <w:jc w:val="center"/>
        <w:rPr>
          <w:rFonts w:ascii="彩虹粗仿宋" w:eastAsia="彩虹粗仿宋"/>
          <w:sz w:val="30"/>
        </w:rPr>
      </w:pPr>
      <w:bookmarkStart w:id="21" w:name="_Toc86737929"/>
      <w:bookmarkStart w:id="22" w:name="_Toc86727355"/>
      <w:bookmarkStart w:id="23" w:name="_Toc110830492"/>
      <w:bookmarkStart w:id="24" w:name="_Toc110761796"/>
      <w:bookmarkStart w:id="25" w:name="_Toc86225291"/>
      <w:bookmarkStart w:id="26" w:name="_Toc108512358"/>
      <w:bookmarkStart w:id="27" w:name="_Toc118212950"/>
      <w:bookmarkStart w:id="28" w:name="_Toc20586"/>
      <w:bookmarkStart w:id="29" w:name="_Toc86223242"/>
      <w:bookmarkStart w:id="30" w:name="_Toc110765660"/>
      <w:bookmarkStart w:id="31" w:name="_Toc118774803"/>
      <w:bookmarkStart w:id="32" w:name="_Toc25852"/>
      <w:bookmarkStart w:id="33" w:name="_Toc118972648"/>
      <w:bookmarkStart w:id="34" w:name="_Toc4623"/>
      <w:bookmarkStart w:id="35" w:name="_Toc86649722"/>
      <w:bookmarkStart w:id="36" w:name="_Toc89163368"/>
      <w:bookmarkStart w:id="37" w:name="_Toc86726439"/>
      <w:bookmarkStart w:id="38" w:name="_Toc78446126"/>
      <w:bookmarkStart w:id="39" w:name="_Toc120435783"/>
      <w:bookmarkStart w:id="40" w:name="_Toc119402710"/>
      <w:r>
        <w:rPr>
          <w:rFonts w:ascii="彩虹粗仿宋" w:eastAsia="彩虹粗仿宋" w:hint="eastAsia"/>
          <w:sz w:val="30"/>
        </w:rPr>
        <w:t>四、基金管理人对基金托管人的业务核查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E974041"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w:t>
      </w:r>
      <w:r>
        <w:rPr>
          <w:rFonts w:ascii="彩虹粗仿宋" w:eastAsia="彩虹粗仿宋" w:hAnsi="宋体" w:cs="Arial"/>
          <w:sz w:val="24"/>
        </w:rPr>
        <w:t>投资所需账户</w:t>
      </w:r>
      <w:r>
        <w:rPr>
          <w:rFonts w:ascii="彩虹粗仿宋" w:eastAsia="彩虹粗仿宋" w:hAnsi="宋体" w:cs="Arial" w:hint="eastAsia"/>
          <w:sz w:val="24"/>
        </w:rPr>
        <w:t>、复核基金管理人计算的基金资产净值和各类基金份额净值、根据基金管理人指令办理清算交收、相关信息披露和监督基金投资运作等行为。</w:t>
      </w:r>
    </w:p>
    <w:p w14:paraId="1B88D8F4"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无故未执行或无故延迟执行基金管理人资金划拨指令、泄露基金投资信息等违反《基金法》、《基金合同》、本协议及其他有关规定时，应及时以书面形</w:t>
      </w:r>
      <w:r>
        <w:rPr>
          <w:rFonts w:ascii="彩虹粗仿宋" w:eastAsia="彩虹粗仿宋" w:hAnsi="宋体" w:cs="Arial" w:hint="eastAsia"/>
          <w:sz w:val="24"/>
        </w:rPr>
        <w:lastRenderedPageBreak/>
        <w:t>式或其他双方认可的形式通知基金托管人限期纠正。基金托管人收到通知后应及时核对并以书面形式或其他双方认可的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BF7CC39" w14:textId="689B4A65"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1C62A0C5" w14:textId="77777777" w:rsidR="00C74F7E" w:rsidRDefault="00C74F7E">
      <w:pPr>
        <w:spacing w:line="360" w:lineRule="auto"/>
        <w:rPr>
          <w:rFonts w:ascii="彩虹粗仿宋" w:eastAsia="彩虹粗仿宋"/>
          <w:sz w:val="24"/>
        </w:rPr>
      </w:pPr>
    </w:p>
    <w:p w14:paraId="0EBE5500" w14:textId="77777777" w:rsidR="00C74F7E" w:rsidRDefault="009641F6">
      <w:pPr>
        <w:pStyle w:val="2"/>
        <w:spacing w:before="0" w:after="0" w:line="360" w:lineRule="auto"/>
        <w:jc w:val="center"/>
        <w:rPr>
          <w:rFonts w:ascii="彩虹粗仿宋" w:eastAsia="彩虹粗仿宋"/>
          <w:sz w:val="30"/>
        </w:rPr>
      </w:pPr>
      <w:bookmarkStart w:id="41" w:name="_Toc118212951"/>
      <w:bookmarkStart w:id="42" w:name="_Toc110765661"/>
      <w:bookmarkStart w:id="43" w:name="_Toc84234435"/>
      <w:bookmarkStart w:id="44" w:name="_Toc86727356"/>
      <w:bookmarkStart w:id="45" w:name="_Toc89163369"/>
      <w:bookmarkStart w:id="46" w:name="_Toc84234388"/>
      <w:bookmarkStart w:id="47" w:name="_Toc118774804"/>
      <w:bookmarkStart w:id="48" w:name="_Toc118972649"/>
      <w:bookmarkStart w:id="49" w:name="_Toc110830493"/>
      <w:bookmarkStart w:id="50" w:name="_Toc86737930"/>
      <w:bookmarkStart w:id="51" w:name="_Toc3490"/>
      <w:bookmarkStart w:id="52" w:name="_Toc120435784"/>
      <w:bookmarkStart w:id="53" w:name="_Toc119402711"/>
      <w:bookmarkStart w:id="54" w:name="_Toc86649723"/>
      <w:bookmarkStart w:id="55" w:name="_Toc110761797"/>
      <w:bookmarkStart w:id="56" w:name="_Toc86726440"/>
      <w:bookmarkStart w:id="57" w:name="_Toc84133786"/>
      <w:bookmarkStart w:id="58" w:name="_Toc78446127"/>
      <w:bookmarkStart w:id="59" w:name="_Toc86204789"/>
      <w:bookmarkStart w:id="60" w:name="_Toc108512359"/>
      <w:bookmarkStart w:id="61" w:name="_Toc7865"/>
      <w:bookmarkStart w:id="62" w:name="_Toc86223243"/>
      <w:bookmarkStart w:id="63" w:name="_Toc32423"/>
      <w:bookmarkStart w:id="64" w:name="_Toc86225292"/>
      <w:r>
        <w:rPr>
          <w:rFonts w:ascii="彩虹粗仿宋" w:eastAsia="彩虹粗仿宋" w:hint="eastAsia"/>
          <w:sz w:val="30"/>
        </w:rPr>
        <w:t>五、基金财产的保管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6CF93A7"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54603F6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0B6DA5D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0880FFC2"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w:t>
      </w:r>
      <w:r>
        <w:rPr>
          <w:rFonts w:ascii="彩虹粗仿宋" w:eastAsia="彩虹粗仿宋" w:hAnsi="宋体" w:cs="Arial"/>
          <w:sz w:val="24"/>
        </w:rPr>
        <w:t>投资所需账户</w:t>
      </w:r>
      <w:r>
        <w:rPr>
          <w:rFonts w:ascii="彩虹粗仿宋" w:eastAsia="彩虹粗仿宋" w:hAnsi="宋体" w:cs="Arial" w:hint="eastAsia"/>
          <w:sz w:val="24"/>
        </w:rPr>
        <w:t>。</w:t>
      </w:r>
    </w:p>
    <w:p w14:paraId="57E05B3D"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14:paraId="551921F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w:t>
      </w:r>
      <w:r>
        <w:rPr>
          <w:rFonts w:ascii="彩虹粗仿宋" w:eastAsia="彩虹粗仿宋" w:hint="eastAsia"/>
          <w:sz w:val="24"/>
        </w:rPr>
        <w:lastRenderedPageBreak/>
        <w:t>分、分配本基金的任何资产（不包含基金托管人依据中国证券登记结算有限责任公司结算数据完成场内交易交收、开户银行或交易/登记结算机构扣收交易费、结算费和账户维护费等费用）。</w:t>
      </w:r>
    </w:p>
    <w:p w14:paraId="40396676"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和配合。</w:t>
      </w:r>
    </w:p>
    <w:p w14:paraId="751C9342"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44A355F"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0DEE7B05"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0F22BD0" w14:textId="2881EC65"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托管资金账户，同时在规定时间内，聘请符合《中华人民共和国证券法》规定的会计师事务所进行验资，出具验资报告。出具的验资报告由参加验资的2名或2名以上中国注册会计师签字方为有效。</w:t>
      </w:r>
    </w:p>
    <w:p w14:paraId="3587787F"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r>
        <w:rPr>
          <w:rFonts w:ascii="彩虹粗仿宋" w:eastAsia="彩虹粗仿宋" w:hAnsi="宋体" w:cs="Arial"/>
          <w:sz w:val="24"/>
        </w:rPr>
        <w:t>基金托管人应予以必要的协助和配合</w:t>
      </w:r>
      <w:r>
        <w:rPr>
          <w:rFonts w:ascii="彩虹粗仿宋" w:eastAsia="彩虹粗仿宋" w:hAnsi="宋体" w:cs="Arial" w:hint="eastAsia"/>
          <w:sz w:val="24"/>
        </w:rPr>
        <w:t>。</w:t>
      </w:r>
    </w:p>
    <w:p w14:paraId="1DF954A8" w14:textId="1B56A128" w:rsidR="00C74F7E" w:rsidRDefault="009641F6" w:rsidP="002D5D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01317B97"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1.基金托管人可以基金的名义在其营业机构开立基金的托管资金账户，并根据基金管理人合法合规的指令办理资金收付。本基金的银行预留印鉴由基金托管人保管和使用。</w:t>
      </w:r>
    </w:p>
    <w:p w14:paraId="625EF910"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2.基金托管资金账户的开立和使用，限于满足开展本基金业务的需要。基金托管人和基金管理人不得假借本基金的名义开立任何其他托管资金账户；亦不得使用基金的任何账户进行本基金业务以外的活动。</w:t>
      </w:r>
    </w:p>
    <w:p w14:paraId="2369F98F" w14:textId="35FA6610"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3397A530"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5BA8EBCA" w14:textId="622A324D"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5.管理人应于本基金清算后及时完成收益兑付、费用结清及其他应收应付款项资金划转，在确保后续不再发生款项进出后的10个工作日内向托管人发出销户申请。</w:t>
      </w:r>
    </w:p>
    <w:p w14:paraId="7A6A9DE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67390BAC"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1281B47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F4A05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07B8913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证券账户开户费由基金管理人先行垫付，待本基金启始运营后,基金管理人可向基金托管人发送划款指令，将代垫开户费从本基金托管资金账户中扣还基金</w:t>
      </w:r>
      <w:r>
        <w:rPr>
          <w:rFonts w:ascii="彩虹粗仿宋" w:eastAsia="彩虹粗仿宋" w:hAnsi="宋体" w:cs="Arial" w:hint="eastAsia"/>
          <w:sz w:val="24"/>
        </w:rPr>
        <w:lastRenderedPageBreak/>
        <w:t>管理人。</w:t>
      </w:r>
    </w:p>
    <w:p w14:paraId="4EA7896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CC7FF8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4E6D1C7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6744ECA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02815889" w14:textId="444117E9"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中央国债登记结算有限责任公司、银行间市场登记结算机构的有关规定，在中央国债登记结算有限责任公司、银行间市场登记结算机构以本基金的名义开立债券托管账户和资金结算专户，并代表基金进行银行间市场债券的结算。基金管理人代表基金签订全国银行间债券市场债券回购主协议。</w:t>
      </w:r>
    </w:p>
    <w:p w14:paraId="69B98FC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（六）期货相关账户的开立和管理</w:t>
      </w:r>
    </w:p>
    <w:p w14:paraId="0ECDD6B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基金管理人应当按照相关规定开立期货结算账户、期货资金账户，在中国金融期货交易所获取交易编码。期货结算账户名称、期货资金账户名称及交易编码</w:t>
      </w:r>
      <w:r>
        <w:rPr>
          <w:rFonts w:ascii="彩虹粗仿宋" w:eastAsia="彩虹粗仿宋" w:hAnsi="宋体" w:cs="Arial" w:hint="eastAsia"/>
          <w:sz w:val="24"/>
        </w:rPr>
        <w:lastRenderedPageBreak/>
        <w:t>对应名称应按照有关规定设立。</w:t>
      </w:r>
    </w:p>
    <w:p w14:paraId="372E229D" w14:textId="5E5E7EA6"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（七）其他账户的开立和管理</w:t>
      </w:r>
    </w:p>
    <w:p w14:paraId="7FF2A64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AE18F9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5A4F5F43" w14:textId="6A2D8C6E"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）基金财产投资的有关有价凭证等的保管</w:t>
      </w:r>
    </w:p>
    <w:p w14:paraId="32067664" w14:textId="5BF8ACCF" w:rsidR="00C74F7E" w:rsidRDefault="009641F6" w:rsidP="0075099A">
      <w:pPr>
        <w:adjustRightInd w:val="0"/>
        <w:snapToGrid w:val="0"/>
        <w:spacing w:line="360" w:lineRule="auto"/>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CF8A721" w14:textId="6E0A563E"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2D5D9A">
        <w:rPr>
          <w:rFonts w:ascii="彩虹粗仿宋" w:eastAsia="彩虹粗仿宋" w:hAnsi="宋体" w:cs="Arial" w:hint="eastAsia"/>
          <w:sz w:val="24"/>
        </w:rPr>
        <w:t>九</w:t>
      </w:r>
      <w:r>
        <w:rPr>
          <w:rFonts w:ascii="彩虹粗仿宋" w:eastAsia="彩虹粗仿宋" w:hAnsi="宋体" w:cs="Arial" w:hint="eastAsia"/>
          <w:sz w:val="24"/>
        </w:rPr>
        <w:t>）与基金财产有关的重大合同的保管</w:t>
      </w:r>
    </w:p>
    <w:p w14:paraId="2A307DC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彩虹粗仿宋" w:eastAsia="彩虹粗仿宋" w:hAnsi="宋体" w:cs="Arial"/>
          <w:sz w:val="24"/>
        </w:rPr>
        <w:t>20</w:t>
      </w:r>
      <w:r>
        <w:rPr>
          <w:rFonts w:ascii="彩虹粗仿宋" w:eastAsia="彩虹粗仿宋" w:hAnsi="宋体" w:cs="Arial" w:hint="eastAsia"/>
          <w:sz w:val="24"/>
        </w:rPr>
        <w:t>年，</w:t>
      </w:r>
      <w:r>
        <w:rPr>
          <w:rFonts w:ascii="彩虹粗仿宋" w:eastAsia="彩虹粗仿宋" w:hAnsi="宋体" w:cs="Arial"/>
          <w:sz w:val="24"/>
        </w:rPr>
        <w:t>法律法规或监管规则另有规定的，从其规定</w:t>
      </w:r>
      <w:r>
        <w:rPr>
          <w:rFonts w:ascii="彩虹粗仿宋" w:eastAsia="彩虹粗仿宋" w:hAnsi="宋体" w:cs="Arial" w:hint="eastAsia"/>
          <w:sz w:val="24"/>
        </w:rPr>
        <w:t>。</w:t>
      </w:r>
    </w:p>
    <w:p w14:paraId="2156C8AA" w14:textId="77777777" w:rsidR="00C74F7E" w:rsidRDefault="009641F6">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lastRenderedPageBreak/>
        <w:t>对于无法取得二份以上的正本的，基金管理人应向基金托管人提供合同传真件并加盖公章，未经双方协商一致，合同原件不得转移。</w:t>
      </w:r>
    </w:p>
    <w:p w14:paraId="195CD529" w14:textId="77777777" w:rsidR="00C74F7E" w:rsidRDefault="00C74F7E">
      <w:pPr>
        <w:spacing w:line="360" w:lineRule="auto"/>
        <w:rPr>
          <w:rFonts w:ascii="彩虹粗仿宋" w:eastAsia="彩虹粗仿宋"/>
          <w:sz w:val="24"/>
        </w:rPr>
      </w:pPr>
    </w:p>
    <w:p w14:paraId="196A509A" w14:textId="77777777" w:rsidR="00C74F7E" w:rsidRDefault="009641F6">
      <w:pPr>
        <w:pStyle w:val="2"/>
        <w:spacing w:before="0" w:after="0" w:line="360" w:lineRule="auto"/>
        <w:jc w:val="center"/>
        <w:rPr>
          <w:rFonts w:ascii="彩虹粗仿宋" w:eastAsia="彩虹粗仿宋"/>
          <w:sz w:val="30"/>
        </w:rPr>
      </w:pPr>
      <w:bookmarkStart w:id="65" w:name="_Toc108512360"/>
      <w:bookmarkStart w:id="66" w:name="_Toc86225293"/>
      <w:bookmarkStart w:id="67" w:name="_Toc1124"/>
      <w:bookmarkStart w:id="68" w:name="_Toc84234436"/>
      <w:bookmarkStart w:id="69" w:name="_Toc86727357"/>
      <w:bookmarkStart w:id="70" w:name="_Toc110761798"/>
      <w:bookmarkStart w:id="71" w:name="_Toc78446128"/>
      <w:bookmarkStart w:id="72" w:name="_Toc86737931"/>
      <w:bookmarkStart w:id="73" w:name="_Toc118774805"/>
      <w:bookmarkStart w:id="74" w:name="_Toc9268"/>
      <w:bookmarkStart w:id="75" w:name="_Toc86649724"/>
      <w:bookmarkStart w:id="76" w:name="_Toc86204790"/>
      <w:bookmarkStart w:id="77" w:name="_Toc119402712"/>
      <w:bookmarkStart w:id="78" w:name="_Toc118212952"/>
      <w:bookmarkStart w:id="79" w:name="_Toc86726441"/>
      <w:bookmarkStart w:id="80" w:name="_Toc120435785"/>
      <w:bookmarkStart w:id="81" w:name="_Toc84234389"/>
      <w:bookmarkStart w:id="82" w:name="_Toc23247"/>
      <w:bookmarkStart w:id="83" w:name="_Toc118972650"/>
      <w:bookmarkStart w:id="84" w:name="_Toc84133787"/>
      <w:bookmarkStart w:id="85" w:name="_Toc110765662"/>
      <w:bookmarkStart w:id="86" w:name="_Toc110830494"/>
      <w:bookmarkStart w:id="87" w:name="_Toc89163370"/>
      <w:bookmarkStart w:id="88" w:name="_Toc86223244"/>
      <w:r>
        <w:rPr>
          <w:rFonts w:ascii="彩虹粗仿宋" w:eastAsia="彩虹粗仿宋" w:hint="eastAsia"/>
          <w:sz w:val="30"/>
        </w:rPr>
        <w:t>六、指令的发送、确认及执行</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EA2DB18"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68BBF591"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0DC8B151"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67472AA5" w14:textId="1D9B6895"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303BDAF4"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34B8269"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2D6995D"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（二）指令的内容</w:t>
      </w:r>
    </w:p>
    <w:p w14:paraId="7DC6467F"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3A8B7270"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12B21213"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546C1F25"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1.指令的发送</w:t>
      </w:r>
    </w:p>
    <w:p w14:paraId="52F3A9C7" w14:textId="6E07F0DF"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68C5213D"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D991B37" w14:textId="41B0858F"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25B60910" w14:textId="2FA73B66"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w:t>
      </w:r>
      <w:r>
        <w:rPr>
          <w:rFonts w:ascii="彩虹粗仿宋" w:eastAsia="彩虹粗仿宋" w:hAnsi="宋体"/>
          <w:sz w:val="24"/>
        </w:rPr>
        <w:t>应</w:t>
      </w:r>
      <w:r>
        <w:rPr>
          <w:rFonts w:ascii="彩虹粗仿宋" w:eastAsia="彩虹粗仿宋" w:hAnsi="宋体" w:hint="eastAsia"/>
          <w:sz w:val="24"/>
        </w:rPr>
        <w:t>书面通知基金托管人。</w:t>
      </w:r>
    </w:p>
    <w:p w14:paraId="53867CDC"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2.指令的确认</w:t>
      </w:r>
    </w:p>
    <w:p w14:paraId="6970D9C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95FFA5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6214B5C6" w14:textId="77777777" w:rsidR="00C74F7E" w:rsidRDefault="009641F6">
      <w:pPr>
        <w:pStyle w:val="a5"/>
        <w:spacing w:line="36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w:t>
      </w:r>
      <w:r>
        <w:rPr>
          <w:rFonts w:ascii="彩虹粗仿宋" w:eastAsia="彩虹粗仿宋" w:hAnsi="宋体" w:cs="Arial" w:hint="eastAsia"/>
        </w:rPr>
        <w:lastRenderedPageBreak/>
        <w:t>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4F8E4DA9" w14:textId="77777777" w:rsidR="00C74F7E" w:rsidRDefault="009641F6">
      <w:pPr>
        <w:pStyle w:val="a5"/>
        <w:spacing w:line="36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58C4326D"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基金管理人发送错误指令的情形包括指令违反法律法规、监管规定和《基金合同》或本协议的约定，或指令发送人员无权或超越权限发送指令。</w:t>
      </w:r>
    </w:p>
    <w:p w14:paraId="48F2F39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23B230C7" w14:textId="27A3F8D0"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06060FB3" w14:textId="588D11A3"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3194EB7E" w14:textId="36EA7E65"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）更换被授权人员的程序</w:t>
      </w:r>
    </w:p>
    <w:p w14:paraId="391B13B8" w14:textId="7AF7095E"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在邮件发出后七个工作日内送达基金托</w:t>
      </w:r>
      <w:r>
        <w:rPr>
          <w:rFonts w:ascii="彩虹粗仿宋" w:eastAsia="彩虹粗仿宋" w:hAnsi="宋体" w:cs="Arial" w:hint="eastAsia"/>
          <w:sz w:val="24"/>
        </w:rPr>
        <w:lastRenderedPageBreak/>
        <w:t>管人文件正本。新的授权文件生效之后，正本送达之前，基金托管人按照新的授权文件扫描件内容执行有关业务，如果新的授权文件正本与扫描件内容不同，由此产生的责任由基金管理人承担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w:t>
      </w:r>
      <w:r>
        <w:rPr>
          <w:rFonts w:ascii="彩虹粗仿宋" w:eastAsia="彩虹粗仿宋" w:hAnsi="宋体" w:cs="Arial"/>
          <w:sz w:val="24"/>
        </w:rPr>
        <w:t>收</w:t>
      </w:r>
      <w:r>
        <w:rPr>
          <w:rFonts w:ascii="彩虹粗仿宋" w:eastAsia="彩虹粗仿宋" w:hAnsi="宋体" w:cs="Arial" w:hint="eastAsia"/>
          <w:sz w:val="24"/>
        </w:rPr>
        <w:t>基金管理人指令的传真号或邮箱地址，应提前通知基金管理人。</w:t>
      </w:r>
    </w:p>
    <w:p w14:paraId="5ED0569A" w14:textId="722F62EA"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（七）其他事项</w:t>
      </w:r>
    </w:p>
    <w:p w14:paraId="79974D33" w14:textId="5F627F91"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基金托管人在接收指令时，应对指令的要素是否齐全、印鉴与被授权人是否与预留的授权文件内容表面相符进行检查，如发现问题，应及时报告基金管理人，基金托管人对正确、及时执行基金管理人的</w:t>
      </w:r>
      <w:r w:rsidR="0075099A">
        <w:rPr>
          <w:rFonts w:ascii="彩虹粗仿宋" w:eastAsia="彩虹粗仿宋" w:hAnsi="宋体" w:cs="Arial" w:hint="eastAsia"/>
          <w:sz w:val="24"/>
        </w:rPr>
        <w:t>有效</w:t>
      </w:r>
      <w:r>
        <w:rPr>
          <w:rFonts w:ascii="彩虹粗仿宋" w:eastAsia="彩虹粗仿宋" w:hAnsi="宋体" w:cs="Arial" w:hint="eastAsia"/>
          <w:sz w:val="24"/>
        </w:rPr>
        <w:t>指令对基金财产造成的损失不承担赔偿责任。</w:t>
      </w:r>
    </w:p>
    <w:p w14:paraId="3C799603"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F7CCDEE" w14:textId="77777777" w:rsidR="00C74F7E" w:rsidRDefault="00C74F7E">
      <w:pPr>
        <w:adjustRightInd w:val="0"/>
        <w:snapToGrid w:val="0"/>
        <w:spacing w:line="360" w:lineRule="auto"/>
        <w:rPr>
          <w:rFonts w:ascii="彩虹粗仿宋" w:eastAsia="彩虹粗仿宋" w:hAnsi="宋体" w:cs="Arial"/>
          <w:sz w:val="24"/>
        </w:rPr>
      </w:pPr>
    </w:p>
    <w:p w14:paraId="11F4D8F6" w14:textId="77777777" w:rsidR="00C74F7E" w:rsidRDefault="009641F6">
      <w:pPr>
        <w:pStyle w:val="2"/>
        <w:spacing w:before="0" w:after="0" w:line="360" w:lineRule="auto"/>
        <w:jc w:val="center"/>
        <w:rPr>
          <w:rFonts w:ascii="彩虹粗仿宋" w:eastAsia="彩虹粗仿宋"/>
          <w:sz w:val="30"/>
        </w:rPr>
      </w:pPr>
      <w:bookmarkStart w:id="89" w:name="_Toc89163371"/>
      <w:bookmarkStart w:id="90" w:name="_Toc110830495"/>
      <w:bookmarkStart w:id="91" w:name="_Toc118212953"/>
      <w:bookmarkStart w:id="92" w:name="_Toc86223245"/>
      <w:bookmarkStart w:id="93" w:name="_Toc110765663"/>
      <w:bookmarkStart w:id="94" w:name="_Toc110761799"/>
      <w:bookmarkStart w:id="95" w:name="_Toc119402713"/>
      <w:bookmarkStart w:id="96" w:name="_Toc86225294"/>
      <w:bookmarkStart w:id="97" w:name="_Toc86727358"/>
      <w:bookmarkStart w:id="98" w:name="_Toc86737932"/>
      <w:bookmarkStart w:id="99" w:name="_Toc84234390"/>
      <w:bookmarkStart w:id="100" w:name="_Toc108512361"/>
      <w:bookmarkStart w:id="101" w:name="_Toc118972651"/>
      <w:bookmarkStart w:id="102" w:name="_Toc118774806"/>
      <w:bookmarkStart w:id="103" w:name="_Toc86726442"/>
      <w:bookmarkStart w:id="104" w:name="_Toc78446129"/>
      <w:bookmarkStart w:id="105" w:name="_Toc26557"/>
      <w:bookmarkStart w:id="106" w:name="_Toc84133788"/>
      <w:bookmarkStart w:id="107" w:name="_Toc120435786"/>
      <w:bookmarkStart w:id="108" w:name="_Toc86649725"/>
      <w:bookmarkStart w:id="109" w:name="_Toc29390"/>
      <w:bookmarkStart w:id="110" w:name="_Toc86204791"/>
      <w:bookmarkStart w:id="111" w:name="_Toc84234437"/>
      <w:bookmarkStart w:id="112" w:name="_Toc10014"/>
      <w:r>
        <w:rPr>
          <w:rFonts w:ascii="彩虹粗仿宋" w:eastAsia="彩虹粗仿宋" w:hint="eastAsia"/>
          <w:sz w:val="30"/>
        </w:rPr>
        <w:t>七、交易及清算交收安排</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934235D" w14:textId="77777777" w:rsidR="00C74F7E" w:rsidRDefault="009641F6" w:rsidP="0075099A">
      <w:pPr>
        <w:spacing w:line="360" w:lineRule="auto"/>
        <w:ind w:firstLineChars="200" w:firstLine="480"/>
        <w:rPr>
          <w:rFonts w:ascii="彩虹粗仿宋" w:eastAsia="彩虹粗仿宋" w:hAnsi="宋体"/>
          <w:bCs/>
          <w:sz w:val="24"/>
        </w:rPr>
      </w:pPr>
      <w:r>
        <w:rPr>
          <w:rFonts w:ascii="彩虹粗仿宋" w:eastAsia="彩虹粗仿宋" w:hAnsi="宋体" w:hint="eastAsia"/>
          <w:sz w:val="24"/>
        </w:rPr>
        <w:t>本产品参与交易所场内证券投资，采取托管人结算模式，</w:t>
      </w:r>
      <w:r>
        <w:rPr>
          <w:rFonts w:ascii="彩虹粗仿宋" w:eastAsia="彩虹粗仿宋" w:hAnsi="宋体" w:hint="eastAsia"/>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38BD63C3"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14:paraId="54A90F99"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w:t>
      </w:r>
      <w:r>
        <w:rPr>
          <w:rFonts w:ascii="彩虹粗仿宋" w:eastAsia="彩虹粗仿宋" w:hAnsi="宋体" w:cs="Arial" w:hint="eastAsia"/>
          <w:sz w:val="24"/>
        </w:rPr>
        <w:lastRenderedPageBreak/>
        <w:t>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74C83FAA"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413F49DB"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因相关法律法规或交易规则的修改带来的变化以届时有效的法律法规和相关交易规则为准。</w:t>
      </w:r>
    </w:p>
    <w:p w14:paraId="34011C0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本基金在开始进行期货投资之前，应与基金托管人、期货公司三方一同就期货开户、清算、估值、交收等事宜另行签署《期货投资托管操作三方备忘录》（具体名称以正式签署的文本为准）。</w:t>
      </w:r>
    </w:p>
    <w:p w14:paraId="299CADE8"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7AC858B2"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 结算备付金与保证金</w:t>
      </w:r>
    </w:p>
    <w:p w14:paraId="72FFA670" w14:textId="5198EDEE" w:rsidR="00C74F7E" w:rsidRDefault="009641F6">
      <w:pPr>
        <w:adjustRightInd w:val="0"/>
        <w:snapToGrid w:val="0"/>
        <w:spacing w:line="360" w:lineRule="auto"/>
        <w:ind w:firstLine="480"/>
        <w:rPr>
          <w:rFonts w:ascii="彩虹粗仿宋" w:eastAsia="彩虹粗仿宋" w:hAnsi="宋体"/>
          <w:bCs/>
          <w:sz w:val="24"/>
        </w:rPr>
      </w:pPr>
      <w:r>
        <w:rPr>
          <w:rFonts w:ascii="彩虹粗仿宋" w:eastAsia="彩虹粗仿宋" w:hAnsi="宋体" w:hint="eastAsia"/>
          <w:bCs/>
          <w:sz w:val="24"/>
        </w:rPr>
        <w:t>中国证券登记结算有限责任公司分别于每月前</w:t>
      </w:r>
      <w:r>
        <w:rPr>
          <w:rFonts w:ascii="彩虹粗仿宋" w:eastAsia="彩虹粗仿宋" w:hAnsi="宋体"/>
          <w:bCs/>
          <w:sz w:val="24"/>
        </w:rPr>
        <w:t>6个交易日</w:t>
      </w:r>
      <w:r>
        <w:rPr>
          <w:rFonts w:ascii="彩虹粗仿宋" w:eastAsia="彩虹粗仿宋" w:hAnsi="宋体" w:hint="eastAsia"/>
          <w:bCs/>
          <w:sz w:val="24"/>
        </w:rPr>
        <w:t>及每月前</w:t>
      </w:r>
      <w:r>
        <w:rPr>
          <w:rFonts w:ascii="彩虹粗仿宋" w:eastAsia="彩虹粗仿宋" w:hAnsi="宋体"/>
          <w:bCs/>
          <w:sz w:val="24"/>
        </w:rPr>
        <w:t>3个交易日内，对结算参与人最低备付金限额与结算保证金限额进行重新核算、调整。基金托管人</w:t>
      </w:r>
      <w:r>
        <w:rPr>
          <w:rFonts w:ascii="彩虹粗仿宋" w:eastAsia="彩虹粗仿宋" w:hAnsi="宋体" w:hint="eastAsia"/>
          <w:bCs/>
          <w:sz w:val="24"/>
        </w:rPr>
        <w:t>应分别于每月前</w:t>
      </w:r>
      <w:r>
        <w:rPr>
          <w:rFonts w:ascii="彩虹粗仿宋" w:eastAsia="彩虹粗仿宋" w:hAnsi="宋体"/>
          <w:bCs/>
          <w:sz w:val="24"/>
        </w:rPr>
        <w:t>3个交易日内及结算保证金调整当日通过《资金账户报告》通知基金管理人</w:t>
      </w:r>
      <w:r>
        <w:rPr>
          <w:rFonts w:ascii="彩虹粗仿宋" w:eastAsia="彩虹粗仿宋" w:hAnsi="宋体" w:hint="eastAsia"/>
          <w:bCs/>
          <w:sz w:val="24"/>
        </w:rPr>
        <w:t>本基金最低备付金调整金额以及调整后的结算保证金金额</w:t>
      </w:r>
      <w:r>
        <w:rPr>
          <w:rFonts w:ascii="彩虹粗仿宋" w:hAnsi="宋体" w:hint="eastAsia"/>
          <w:sz w:val="24"/>
        </w:rPr>
        <w:t>。</w:t>
      </w:r>
    </w:p>
    <w:p w14:paraId="54A1079A" w14:textId="77777777" w:rsidR="00C74F7E" w:rsidRDefault="009641F6" w:rsidP="0075099A">
      <w:pPr>
        <w:spacing w:line="360" w:lineRule="auto"/>
        <w:ind w:firstLineChars="200" w:firstLine="480"/>
        <w:rPr>
          <w:rFonts w:ascii="彩虹粗仿宋" w:eastAsia="彩虹粗仿宋" w:hAnsi="宋体"/>
          <w:bCs/>
          <w:sz w:val="24"/>
        </w:rPr>
      </w:pPr>
      <w:r>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r>
        <w:rPr>
          <w:rFonts w:ascii="彩虹粗仿宋" w:eastAsia="彩虹粗仿宋" w:hAnsi="宋体" w:hint="eastAsia"/>
          <w:sz w:val="24"/>
        </w:rPr>
        <w:t>如因调整最低备付金、结算保证金后造成透支，基金管理人应视</w:t>
      </w:r>
      <w:r>
        <w:rPr>
          <w:rFonts w:ascii="彩虹粗仿宋" w:eastAsia="彩虹粗仿宋" w:hAnsi="宋体" w:hint="eastAsia"/>
          <w:sz w:val="24"/>
        </w:rPr>
        <w:lastRenderedPageBreak/>
        <w:t>基金托管人最低结算备付金比例计收方式分别于下列时点补足透支金额：</w:t>
      </w:r>
    </w:p>
    <w:p w14:paraId="40AD94F5" w14:textId="77777777" w:rsidR="00C74F7E" w:rsidRDefault="009641F6" w:rsidP="0075099A">
      <w:pPr>
        <w:spacing w:line="360" w:lineRule="auto"/>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w:t>
      </w:r>
      <w:r>
        <w:rPr>
          <w:rFonts w:ascii="彩虹粗仿宋" w:eastAsia="彩虹粗仿宋" w:hAnsi="宋体" w:hint="eastAsia"/>
          <w:sz w:val="24"/>
        </w:rPr>
        <w:t>计收方式下，基金管理人应在调整最低备付金、结算保证金当日上午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00之前补足</w:t>
      </w:r>
      <w:r>
        <w:rPr>
          <w:rFonts w:ascii="彩虹粗仿宋" w:eastAsia="彩虹粗仿宋" w:hAnsi="宋体" w:hint="eastAsia"/>
          <w:sz w:val="24"/>
        </w:rPr>
        <w:t>金额。</w:t>
      </w:r>
    </w:p>
    <w:p w14:paraId="5E385810" w14:textId="77777777" w:rsidR="00C74F7E" w:rsidRDefault="009641F6">
      <w:pPr>
        <w:adjustRightInd w:val="0"/>
        <w:snapToGrid w:val="0"/>
        <w:ind w:firstLine="480"/>
        <w:rPr>
          <w:rFonts w:ascii="彩虹粗仿宋" w:eastAsia="彩虹粗仿宋" w:hAnsi="宋体" w:cs="Arial"/>
          <w:sz w:val="24"/>
        </w:rPr>
      </w:pPr>
      <w:r>
        <w:rPr>
          <w:rFonts w:ascii="彩虹粗仿宋" w:eastAsia="彩虹粗仿宋" w:hAnsi="宋体" w:hint="eastAsia"/>
          <w:sz w:val="24"/>
        </w:rPr>
        <w:t>（</w:t>
      </w:r>
      <w:r>
        <w:rPr>
          <w:rFonts w:ascii="彩虹粗仿宋" w:eastAsia="彩虹粗仿宋" w:hAnsi="宋体"/>
          <w:sz w:val="24"/>
        </w:rPr>
        <w:t>2）差异化备付金比例</w:t>
      </w:r>
      <w:r>
        <w:rPr>
          <w:rFonts w:ascii="彩虹粗仿宋" w:eastAsia="彩虹粗仿宋" w:hAnsi="宋体" w:hint="eastAsia"/>
          <w:sz w:val="24"/>
        </w:rPr>
        <w:t>计收方式下，基金管理人应最晚于资金交收日上午</w:t>
      </w:r>
      <w:r>
        <w:rPr>
          <w:rFonts w:ascii="彩虹粗仿宋" w:eastAsia="彩虹粗仿宋" w:hAnsi="宋体"/>
          <w:sz w:val="24"/>
        </w:rPr>
        <w:t>8：30前补足金额</w:t>
      </w:r>
      <w:r>
        <w:rPr>
          <w:rFonts w:ascii="彩虹粗仿宋" w:eastAsia="彩虹粗仿宋" w:hAnsi="宋体" w:hint="eastAsia"/>
          <w:sz w:val="24"/>
        </w:rPr>
        <w:t>。</w:t>
      </w:r>
    </w:p>
    <w:p w14:paraId="32974E95" w14:textId="72EC91C2"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bCs/>
          <w:sz w:val="24"/>
        </w:rPr>
        <w:t>2</w:t>
      </w:r>
      <w:r>
        <w:rPr>
          <w:rFonts w:ascii="彩虹粗仿宋" w:eastAsia="彩虹粗仿宋" w:hAnsi="宋体" w:hint="eastAsia"/>
          <w:bCs/>
          <w:sz w:val="24"/>
        </w:rPr>
        <w:t xml:space="preserve">. </w:t>
      </w:r>
      <w:r>
        <w:rPr>
          <w:rFonts w:ascii="彩虹粗仿宋" w:eastAsia="彩虹粗仿宋" w:hAnsi="宋体"/>
          <w:bCs/>
          <w:sz w:val="24"/>
        </w:rPr>
        <w:t>清算交收</w:t>
      </w:r>
    </w:p>
    <w:p w14:paraId="71AE6BC3"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B691C8A" w14:textId="78A0B88F"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如果因为基金托管人自身过错在清算上造成基金财产的直接损失，应由基金托管人负责赔偿</w:t>
      </w:r>
      <w:r>
        <w:rPr>
          <w:rFonts w:ascii="宋体" w:hAnsi="Calibri" w:cs="宋体" w:hint="eastAsia"/>
          <w:color w:val="FF0000"/>
          <w:kern w:val="0"/>
          <w:sz w:val="22"/>
          <w:szCs w:val="22"/>
          <w:u w:val="single"/>
          <w:lang w:val="zh-CN"/>
        </w:rPr>
        <w:t>，</w:t>
      </w:r>
      <w:r>
        <w:rPr>
          <w:rFonts w:ascii="彩虹粗仿宋" w:eastAsia="彩虹粗仿宋" w:hAnsi="宋体" w:cs="Arial" w:hint="eastAsia"/>
          <w:sz w:val="24"/>
        </w:rPr>
        <w:t>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1A78A7FC" w14:textId="77777777" w:rsidR="00C74F7E" w:rsidRDefault="009641F6" w:rsidP="0075099A">
      <w:pPr>
        <w:spacing w:line="360" w:lineRule="auto"/>
        <w:ind w:firstLineChars="200" w:firstLine="480"/>
        <w:rPr>
          <w:rFonts w:ascii="彩虹粗仿宋" w:eastAsia="彩虹粗仿宋" w:hAnsi="宋体"/>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w:t>
      </w:r>
      <w:r>
        <w:rPr>
          <w:rFonts w:ascii="彩虹粗仿宋" w:eastAsia="彩虹粗仿宋" w:hAnsi="宋体" w:cs="宋体" w:hint="eastAsia"/>
          <w:color w:val="000000"/>
          <w:kern w:val="0"/>
          <w:sz w:val="24"/>
        </w:rPr>
        <w:lastRenderedPageBreak/>
        <w:t>金头寸不足，</w:t>
      </w:r>
      <w:r w:rsidRPr="007802B7">
        <w:rPr>
          <w:rFonts w:ascii="彩虹粗仿宋" w:eastAsia="彩虹粗仿宋" w:hAnsi="宋体" w:cs="宋体" w:hint="eastAsia"/>
          <w:color w:val="000000"/>
          <w:kern w:val="0"/>
          <w:sz w:val="24"/>
        </w:rPr>
        <w:t>基金管理人应视基金托</w:t>
      </w:r>
      <w:r>
        <w:rPr>
          <w:rFonts w:ascii="彩虹粗仿宋" w:eastAsia="彩虹粗仿宋" w:hAnsi="宋体" w:hint="eastAsia"/>
          <w:sz w:val="24"/>
        </w:rPr>
        <w:t>管</w:t>
      </w:r>
      <w:r>
        <w:rPr>
          <w:rFonts w:ascii="彩虹粗仿宋" w:eastAsia="彩虹粗仿宋" w:hAnsi="宋体"/>
          <w:sz w:val="24"/>
        </w:rPr>
        <w:t>人</w:t>
      </w:r>
      <w:r>
        <w:rPr>
          <w:rFonts w:ascii="彩虹粗仿宋" w:eastAsia="彩虹粗仿宋" w:hAnsi="宋体" w:hint="eastAsia"/>
          <w:sz w:val="24"/>
        </w:rPr>
        <w:t>最低结算备付金比例计收方式分别于下列时点补足透支金额：</w:t>
      </w:r>
    </w:p>
    <w:p w14:paraId="21D13DD3" w14:textId="77777777" w:rsidR="00C74F7E" w:rsidRDefault="009641F6" w:rsidP="0075099A">
      <w:pPr>
        <w:spacing w:line="360" w:lineRule="auto"/>
        <w:ind w:firstLineChars="200" w:firstLine="480"/>
        <w:rPr>
          <w:rFonts w:ascii="彩虹粗仿宋" w:eastAsia="彩虹粗仿宋" w:hAnsi="宋体"/>
          <w:sz w:val="24"/>
        </w:rPr>
      </w:pPr>
      <w:r>
        <w:rPr>
          <w:rFonts w:ascii="彩虹粗仿宋" w:eastAsia="彩虹粗仿宋" w:hAnsi="宋体" w:hint="eastAsia"/>
          <w:sz w:val="24"/>
        </w:rPr>
        <w:t>（</w:t>
      </w:r>
      <w:r>
        <w:rPr>
          <w:rFonts w:ascii="彩虹粗仿宋" w:eastAsia="彩虹粗仿宋" w:hAnsi="宋体"/>
          <w:sz w:val="24"/>
        </w:rPr>
        <w:t>1）固定备付金比例计收方式下，</w:t>
      </w:r>
      <w:r>
        <w:rPr>
          <w:rFonts w:ascii="彩虹粗仿宋" w:eastAsia="彩虹粗仿宋" w:hAnsi="宋体" w:hint="eastAsia"/>
          <w:sz w:val="24"/>
        </w:rPr>
        <w:t>基金</w:t>
      </w:r>
      <w:r>
        <w:rPr>
          <w:rFonts w:ascii="彩虹粗仿宋" w:eastAsia="彩虹粗仿宋" w:hAnsi="宋体"/>
          <w:sz w:val="24"/>
        </w:rPr>
        <w:t>管理人应</w:t>
      </w:r>
      <w:r>
        <w:rPr>
          <w:rFonts w:ascii="彩虹粗仿宋" w:eastAsia="彩虹粗仿宋" w:hAnsi="宋体" w:hint="eastAsia"/>
          <w:sz w:val="24"/>
        </w:rPr>
        <w:t>最晚于资金交收日上午</w:t>
      </w:r>
      <w:r>
        <w:rPr>
          <w:rFonts w:ascii="彩虹粗仿宋" w:eastAsia="彩虹粗仿宋" w:hAnsi="宋体"/>
          <w:sz w:val="24"/>
        </w:rPr>
        <w:t>11</w:t>
      </w:r>
      <w:r>
        <w:rPr>
          <w:rFonts w:ascii="彩虹粗仿宋" w:eastAsia="彩虹粗仿宋" w:hAnsi="宋体" w:hint="eastAsia"/>
          <w:sz w:val="24"/>
        </w:rPr>
        <w:t>：</w:t>
      </w:r>
      <w:r>
        <w:rPr>
          <w:rFonts w:ascii="彩虹粗仿宋" w:eastAsia="彩虹粗仿宋" w:hAnsi="宋体"/>
          <w:sz w:val="24"/>
        </w:rPr>
        <w:t>00前补足金额。</w:t>
      </w:r>
    </w:p>
    <w:p w14:paraId="733D81DE" w14:textId="77777777" w:rsidR="00C74F7E" w:rsidRDefault="009641F6">
      <w:pPr>
        <w:adjustRightInd w:val="0"/>
        <w:snapToGrid w:val="0"/>
        <w:ind w:firstLine="480"/>
        <w:rPr>
          <w:rFonts w:ascii="彩虹粗仿宋" w:eastAsia="彩虹粗仿宋" w:hAnsi="宋体" w:cs="宋体"/>
          <w:color w:val="000000"/>
          <w:kern w:val="0"/>
          <w:sz w:val="24"/>
        </w:rPr>
      </w:pPr>
      <w:r>
        <w:rPr>
          <w:rFonts w:ascii="彩虹粗仿宋" w:eastAsia="彩虹粗仿宋" w:hAnsi="宋体" w:hint="eastAsia"/>
          <w:sz w:val="24"/>
        </w:rPr>
        <w:t>（</w:t>
      </w:r>
      <w:r>
        <w:rPr>
          <w:rFonts w:ascii="彩虹粗仿宋" w:eastAsia="彩虹粗仿宋" w:hAnsi="宋体"/>
          <w:sz w:val="24"/>
        </w:rPr>
        <w:t>2）差异化备付金比例计收方式下，</w:t>
      </w:r>
      <w:r>
        <w:rPr>
          <w:rFonts w:ascii="彩虹粗仿宋" w:eastAsia="彩虹粗仿宋" w:hAnsi="宋体" w:hint="eastAsia"/>
          <w:sz w:val="24"/>
        </w:rPr>
        <w:t>基金</w:t>
      </w:r>
      <w:r>
        <w:rPr>
          <w:rFonts w:ascii="彩虹粗仿宋" w:eastAsia="彩虹粗仿宋" w:hAnsi="宋体"/>
          <w:sz w:val="24"/>
        </w:rPr>
        <w:t>管理人应最晚于资金交收日</w:t>
      </w:r>
      <w:r>
        <w:rPr>
          <w:rFonts w:ascii="彩虹粗仿宋" w:eastAsia="彩虹粗仿宋" w:hAnsi="宋体" w:hint="eastAsia"/>
          <w:sz w:val="24"/>
        </w:rPr>
        <w:t>上午</w:t>
      </w:r>
      <w:r>
        <w:rPr>
          <w:rFonts w:ascii="彩虹粗仿宋" w:eastAsia="彩虹粗仿宋" w:hAnsi="宋体"/>
          <w:sz w:val="24"/>
        </w:rPr>
        <w:t>8：30前补足金额</w:t>
      </w:r>
      <w:r>
        <w:rPr>
          <w:rFonts w:ascii="彩虹粗仿宋" w:eastAsia="彩虹粗仿宋" w:hAnsi="宋体" w:cs="宋体" w:hint="eastAsia"/>
          <w:color w:val="000000"/>
          <w:kern w:val="0"/>
          <w:sz w:val="24"/>
        </w:rPr>
        <w:t>。</w:t>
      </w:r>
    </w:p>
    <w:p w14:paraId="19AC2706" w14:textId="77777777" w:rsidR="00C74F7E" w:rsidRDefault="009641F6">
      <w:pPr>
        <w:adjustRightInd w:val="0"/>
        <w:snapToGrid w:val="0"/>
        <w:spacing w:line="360" w:lineRule="auto"/>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sz w:val="24"/>
        </w:rPr>
        <w:t>和基金托管人托管的其他资产</w:t>
      </w:r>
      <w:r>
        <w:rPr>
          <w:rFonts w:ascii="彩虹粗仿宋" w:eastAsia="彩虹粗仿宋" w:hAnsi="宋体" w:cs="宋体" w:hint="eastAsia"/>
          <w:color w:val="000000"/>
          <w:kern w:val="0"/>
          <w:sz w:val="24"/>
        </w:rPr>
        <w:t>造成的直接损失由基金管理人负责。</w:t>
      </w:r>
    </w:p>
    <w:p w14:paraId="7C61D0F1"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F999D7E" w14:textId="77777777" w:rsidR="00C74F7E" w:rsidRDefault="009641F6">
      <w:pPr>
        <w:adjustRightInd w:val="0"/>
        <w:snapToGrid w:val="0"/>
        <w:spacing w:line="360" w:lineRule="auto"/>
        <w:ind w:firstLine="480"/>
        <w:rPr>
          <w:rFonts w:ascii="彩虹粗仿宋" w:eastAsia="彩虹粗仿宋" w:hAnsi="宋体" w:cs="宋体"/>
          <w:color w:val="000000"/>
          <w:kern w:val="0"/>
          <w:sz w:val="24"/>
        </w:rPr>
      </w:pPr>
      <w:r w:rsidRPr="007802B7">
        <w:rPr>
          <w:rFonts w:ascii="彩虹粗仿宋" w:eastAsia="彩虹粗仿宋" w:hAnsi="宋体" w:cs="宋体" w:hint="eastAsia"/>
          <w:color w:val="000000"/>
          <w:kern w:val="0"/>
          <w:sz w:val="24"/>
        </w:rPr>
        <w:t>对于中国证券登记结算有限责任公司实行</w:t>
      </w:r>
      <w:r w:rsidRPr="007802B7">
        <w:rPr>
          <w:rFonts w:ascii="彩虹粗仿宋" w:eastAsia="彩虹粗仿宋" w:hAnsi="宋体" w:cs="宋体"/>
          <w:color w:val="000000"/>
          <w:kern w:val="0"/>
          <w:sz w:val="24"/>
        </w:rPr>
        <w:t>T+0非担保交收的业务，基金管理人应在交易日14：00前将划款指令发送至托管人。因基金管理人指令传输不及时，致使资金未能及时划入中国证券登记结算有限责任公司</w:t>
      </w:r>
      <w:r>
        <w:rPr>
          <w:rFonts w:ascii="彩虹粗仿宋" w:eastAsia="彩虹粗仿宋" w:hAnsi="宋体" w:cs="宋体" w:hint="eastAsia"/>
          <w:color w:val="000000"/>
          <w:kern w:val="0"/>
          <w:sz w:val="24"/>
        </w:rPr>
        <w:t>指定交收账户</w:t>
      </w:r>
      <w:r w:rsidRPr="007802B7">
        <w:rPr>
          <w:rFonts w:ascii="彩虹粗仿宋" w:eastAsia="彩虹粗仿宋" w:hAnsi="宋体" w:cs="宋体" w:hint="eastAsia"/>
          <w:color w:val="000000"/>
          <w:kern w:val="0"/>
          <w:sz w:val="24"/>
        </w:rPr>
        <w:t>所造成的损失由基金管理人承担，包括</w:t>
      </w:r>
      <w:r>
        <w:rPr>
          <w:rFonts w:ascii="彩虹粗仿宋" w:eastAsia="彩虹粗仿宋" w:hAnsi="宋体" w:cs="宋体" w:hint="eastAsia"/>
          <w:color w:val="000000"/>
          <w:kern w:val="0"/>
          <w:sz w:val="24"/>
        </w:rPr>
        <w:t>但不限于</w:t>
      </w:r>
      <w:r w:rsidRPr="007802B7">
        <w:rPr>
          <w:rFonts w:ascii="彩虹粗仿宋" w:eastAsia="彩虹粗仿宋" w:hAnsi="宋体" w:cs="宋体" w:hint="eastAsia"/>
          <w:color w:val="000000"/>
          <w:kern w:val="0"/>
          <w:sz w:val="24"/>
        </w:rPr>
        <w:t>赔偿在该市场引起其他托管客户交易失败、赔偿因占用结算参与人最低备付金带来的利息损失。</w:t>
      </w:r>
    </w:p>
    <w:p w14:paraId="533BD2FF" w14:textId="48D5342B" w:rsidR="00C74F7E" w:rsidRPr="007802B7" w:rsidRDefault="009641F6">
      <w:pPr>
        <w:adjustRightInd w:val="0"/>
        <w:snapToGrid w:val="0"/>
        <w:spacing w:line="360" w:lineRule="auto"/>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3</w:t>
      </w:r>
      <w:r w:rsidRPr="007802B7">
        <w:rPr>
          <w:rFonts w:ascii="彩虹粗仿宋" w:eastAsia="彩虹粗仿宋" w:hAnsi="宋体" w:cs="宋体"/>
          <w:color w:val="000000"/>
          <w:kern w:val="0"/>
          <w:sz w:val="24"/>
        </w:rPr>
        <w:t>.交易记录、资金和证券/期货账目核对的时间和方式</w:t>
      </w:r>
    </w:p>
    <w:p w14:paraId="391A73E1"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46DC4027" w14:textId="363F36F4"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基金管理人按日进行交易记录的核对。对外披露基金净值信息之前，必须保证当天所有实际交易记录与基金会计账簿上的交易记录完全一致。如果实际交易</w:t>
      </w:r>
      <w:r>
        <w:rPr>
          <w:rFonts w:ascii="彩虹粗仿宋" w:eastAsia="彩虹粗仿宋" w:hint="eastAsia"/>
          <w:kern w:val="0"/>
          <w:sz w:val="24"/>
        </w:rPr>
        <w:lastRenderedPageBreak/>
        <w:t>记录与会计账簿记录不一致，造成基金会计核算不完整或不真实，由此导致的损失由管理人承担。</w:t>
      </w:r>
    </w:p>
    <w:p w14:paraId="0A95E19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32FC84B9"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资金账目按日核实，账实相符。</w:t>
      </w:r>
    </w:p>
    <w:p w14:paraId="1C7C7464"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（3）证券/期货账目的核对</w:t>
      </w:r>
    </w:p>
    <w:p w14:paraId="6D89E93B" w14:textId="322C069C"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基金管理人和基金托管人每交易日结束后核对基金证券/期货账目，确保双方账目相符。</w:t>
      </w:r>
    </w:p>
    <w:p w14:paraId="5EC57285"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57C73C58"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1162E89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A82B76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23C311F6" w14:textId="2696A8EF"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0D94C38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1F1E4F50"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68D58328"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为满足申购、赎回及分红资金汇划的需要，由基金管理人开立资金清算的专用账户，该账户由登记机构管理。</w:t>
      </w:r>
    </w:p>
    <w:p w14:paraId="2D64D724"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予以必要的协助和配合。</w:t>
      </w:r>
    </w:p>
    <w:p w14:paraId="109E4FA8"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24628FC3"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7431FA5D"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9.资金指令</w:t>
      </w:r>
    </w:p>
    <w:p w14:paraId="2A667E06" w14:textId="2984496A"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38FD75AF"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6E989BA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6F994BA2" w14:textId="1FF252D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w:t>
      </w:r>
      <w:r>
        <w:rPr>
          <w:rFonts w:ascii="彩虹粗仿宋" w:eastAsia="彩虹粗仿宋" w:hAnsi="宋体" w:cs="Arial" w:hint="eastAsia"/>
          <w:sz w:val="24"/>
        </w:rPr>
        <w:lastRenderedPageBreak/>
        <w:t>到基金托管资金账户；当存在托管资金账户净应付额时，基金管理人应在T-1日将划款指令发送给基金托管人，基金托管人按基金管理人的划款指令将托管资金账户净应付额在T日12:00之前划往基金清算账户。</w:t>
      </w:r>
    </w:p>
    <w:p w14:paraId="66F77591"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（五）基金转换</w:t>
      </w:r>
    </w:p>
    <w:p w14:paraId="3E663549"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21703C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77F94727"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312B9D3A"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（六）基金现金分红</w:t>
      </w:r>
    </w:p>
    <w:p w14:paraId="713B8FDC"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w:t>
      </w:r>
      <w:r>
        <w:rPr>
          <w:rFonts w:ascii="彩虹粗仿宋" w:eastAsia="彩虹粗仿宋" w:hint="eastAsia"/>
          <w:sz w:val="24"/>
        </w:rPr>
        <w:t>规定</w:t>
      </w:r>
      <w:r>
        <w:rPr>
          <w:rFonts w:ascii="彩虹粗仿宋" w:eastAsia="彩虹粗仿宋" w:hint="eastAsia"/>
          <w:sz w:val="24"/>
          <w:szCs w:val="18"/>
        </w:rPr>
        <w:t>媒介上公告</w:t>
      </w:r>
      <w:r>
        <w:rPr>
          <w:rFonts w:ascii="彩虹粗仿宋" w:eastAsia="彩虹粗仿宋" w:hAnsi="宋体" w:cs="Arial" w:hint="eastAsia"/>
          <w:sz w:val="24"/>
        </w:rPr>
        <w:t>。</w:t>
      </w:r>
    </w:p>
    <w:p w14:paraId="150AEA4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ECB5DB8"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3AD73C34"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6E2D60FE"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5DEEE2C3"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w:t>
      </w:r>
      <w:r>
        <w:rPr>
          <w:rFonts w:ascii="彩虹粗仿宋" w:eastAsia="彩虹粗仿宋" w:hAnsi="宋体" w:cs="Arial" w:hint="eastAsia"/>
          <w:sz w:val="24"/>
        </w:rPr>
        <w:lastRenderedPageBreak/>
        <w:t>划往任何其他账户。</w:t>
      </w:r>
    </w:p>
    <w:p w14:paraId="307E41A9"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76A9BCAB"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68B7E8E0" w14:textId="77777777" w:rsidR="00C74F7E" w:rsidRDefault="009641F6">
      <w:pPr>
        <w:spacing w:line="360" w:lineRule="auto"/>
        <w:ind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726DC3D8"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7FF39F0"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155EB1CA" w14:textId="4DBE83DC" w:rsidR="00C74F7E" w:rsidRDefault="009641F6" w:rsidP="0075099A">
      <w:pPr>
        <w:adjustRightInd w:val="0"/>
        <w:snapToGrid w:val="0"/>
        <w:spacing w:line="360" w:lineRule="auto"/>
        <w:ind w:firstLineChars="200" w:firstLine="480"/>
        <w:rPr>
          <w:rFonts w:ascii="彩虹粗仿宋" w:eastAsia="彩虹粗仿宋" w:hAnsi="宋体" w:cs="Arial"/>
          <w:sz w:val="24"/>
        </w:rPr>
      </w:pPr>
      <w:bookmarkStart w:id="113" w:name="_Toc78446130"/>
      <w:bookmarkStart w:id="114" w:name="_Toc28068"/>
      <w:r>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管理人尽量避免在此类银行进行存款投资；（2）在定期报告中，对未按约定送达基金托管人保管的实物凭证信息进行规定范围信息披露；（3）</w:t>
      </w:r>
      <w:r>
        <w:rPr>
          <w:rFonts w:ascii="彩虹粗仿宋" w:eastAsia="彩虹粗仿宋" w:hAnsi="宋体" w:cs="Arial" w:hint="eastAsia"/>
          <w:sz w:val="24"/>
        </w:rPr>
        <w:lastRenderedPageBreak/>
        <w:t>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59DDB231" w14:textId="77777777" w:rsidR="00C74F7E" w:rsidRDefault="00C74F7E">
      <w:pPr>
        <w:adjustRightInd w:val="0"/>
        <w:snapToGrid w:val="0"/>
        <w:spacing w:line="360" w:lineRule="auto"/>
        <w:ind w:firstLineChars="200" w:firstLine="480"/>
        <w:rPr>
          <w:rFonts w:ascii="彩虹粗仿宋" w:eastAsia="彩虹粗仿宋" w:hAnsi="宋体" w:cs="Arial"/>
          <w:sz w:val="24"/>
        </w:rPr>
      </w:pPr>
    </w:p>
    <w:p w14:paraId="2909EADA" w14:textId="77777777" w:rsidR="00C74F7E" w:rsidRDefault="009641F6">
      <w:pPr>
        <w:pStyle w:val="2"/>
        <w:spacing w:before="0" w:after="0" w:line="360" w:lineRule="auto"/>
        <w:jc w:val="center"/>
        <w:rPr>
          <w:rFonts w:ascii="彩虹粗仿宋" w:eastAsia="彩虹粗仿宋"/>
        </w:rPr>
      </w:pPr>
      <w:bookmarkStart w:id="115" w:name="_Toc8092"/>
      <w:bookmarkStart w:id="116" w:name="_Toc29093"/>
      <w:r>
        <w:rPr>
          <w:rFonts w:ascii="彩虹粗仿宋" w:eastAsia="彩虹粗仿宋" w:hint="eastAsia"/>
        </w:rPr>
        <w:t>八、基金资产净值计算和会计核算</w:t>
      </w:r>
      <w:bookmarkEnd w:id="113"/>
      <w:bookmarkEnd w:id="114"/>
      <w:bookmarkEnd w:id="115"/>
      <w:bookmarkEnd w:id="116"/>
    </w:p>
    <w:p w14:paraId="7C8379FE"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5AEC0C71"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1.基金资产净值是指基金资产总值减去基金负债后的价值。各类基金份额净值是按照每个工作日闭市后，该类基金份额的基金资产净值除以当日该类基金份额的余额数量计算，均精确到0.00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w:t>
      </w:r>
      <w:r>
        <w:rPr>
          <w:rFonts w:ascii="彩虹粗仿宋" w:eastAsia="彩虹粗仿宋" w:hAnsi="宋体" w:cs="Arial" w:hint="eastAsia"/>
          <w:bCs/>
          <w:sz w:val="24"/>
        </w:rPr>
        <w:t>，由此产生的误差计入基金财产</w:t>
      </w:r>
      <w:r>
        <w:rPr>
          <w:rFonts w:ascii="彩虹粗仿宋" w:eastAsia="彩虹粗仿宋" w:hAnsi="宋体" w:cs="Arial" w:hint="eastAsia"/>
          <w:sz w:val="24"/>
        </w:rPr>
        <w:t>。基金管理人可以设立大额赎回情形下的净值精度应急调整机制。国家另有规定的，从其规定。</w:t>
      </w:r>
    </w:p>
    <w:p w14:paraId="2CA63EF7"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bookmarkStart w:id="117" w:name="_Hlk107737897"/>
      <w:r>
        <w:rPr>
          <w:rFonts w:ascii="彩虹粗仿宋" w:eastAsia="彩虹粗仿宋" w:hAnsi="宋体" w:cs="Arial" w:hint="eastAsia"/>
          <w:sz w:val="24"/>
        </w:rPr>
        <w:t>基金管理人每个工作日计算基金资产净值及各类基金份额净值，并按规定公告。</w:t>
      </w:r>
    </w:p>
    <w:bookmarkEnd w:id="117"/>
    <w:p w14:paraId="00CA6380"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6F57C9D6" w14:textId="77777777" w:rsidR="00C74F7E" w:rsidRDefault="009641F6">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5E71A9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5DF4F8C9" w14:textId="77777777" w:rsidR="00C74F7E" w:rsidRDefault="009641F6">
      <w:pPr>
        <w:adjustRightInd w:val="0"/>
        <w:snapToGrid w:val="0"/>
        <w:spacing w:line="360" w:lineRule="auto"/>
        <w:ind w:firstLineChars="200" w:firstLine="480"/>
        <w:rPr>
          <w:rFonts w:ascii="彩虹粗仿宋" w:eastAsia="彩虹粗仿宋" w:hAnsi="宋体" w:cs="Arial"/>
          <w:bCs/>
          <w:sz w:val="24"/>
        </w:rPr>
      </w:pPr>
      <w:r>
        <w:rPr>
          <w:rFonts w:ascii="彩虹粗仿宋" w:eastAsia="彩虹粗仿宋" w:hAnsi="宋体" w:cs="Arial" w:hint="eastAsia"/>
          <w:sz w:val="24"/>
        </w:rPr>
        <w:t>基金所拥</w:t>
      </w:r>
      <w:r>
        <w:rPr>
          <w:rFonts w:ascii="彩虹粗仿宋" w:eastAsia="彩虹粗仿宋" w:hAnsi="宋体" w:cs="Arial" w:hint="eastAsia"/>
          <w:bCs/>
          <w:sz w:val="24"/>
        </w:rPr>
        <w:t>有的股票、</w:t>
      </w:r>
      <w:r>
        <w:rPr>
          <w:rFonts w:ascii="彩虹粗仿宋" w:eastAsia="彩虹粗仿宋" w:hAnsi="宋体" w:cs="Arial"/>
          <w:bCs/>
          <w:sz w:val="24"/>
        </w:rPr>
        <w:t>存托凭证</w:t>
      </w:r>
      <w:r>
        <w:rPr>
          <w:rFonts w:ascii="彩虹粗仿宋" w:eastAsia="彩虹粗仿宋" w:hAnsi="宋体" w:cs="Arial" w:hint="eastAsia"/>
          <w:bCs/>
          <w:sz w:val="24"/>
        </w:rPr>
        <w:t>、国债期货、信用衍生品、债券、</w:t>
      </w:r>
      <w:r>
        <w:rPr>
          <w:rFonts w:ascii="彩虹粗仿宋" w:eastAsia="彩虹粗仿宋" w:hAnsi="宋体" w:cs="Arial"/>
          <w:bCs/>
          <w:sz w:val="24"/>
        </w:rPr>
        <w:t>资产支持证</w:t>
      </w:r>
      <w:r>
        <w:rPr>
          <w:rFonts w:ascii="彩虹粗仿宋" w:eastAsia="彩虹粗仿宋" w:hAnsi="宋体" w:cs="Arial"/>
          <w:bCs/>
          <w:sz w:val="24"/>
        </w:rPr>
        <w:lastRenderedPageBreak/>
        <w:t>券</w:t>
      </w:r>
      <w:r>
        <w:rPr>
          <w:rFonts w:ascii="彩虹粗仿宋" w:eastAsia="彩虹粗仿宋" w:hAnsi="宋体" w:cs="Arial" w:hint="eastAsia"/>
          <w:bCs/>
          <w:sz w:val="24"/>
        </w:rPr>
        <w:t>和银行存款本息、应收款项、其它投资等资产及负债。</w:t>
      </w:r>
    </w:p>
    <w:p w14:paraId="19F92B9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070ACB6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p>
    <w:p w14:paraId="3BF64849" w14:textId="0E4532B0"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723FED09"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9756E4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2）交易所上市交易或挂牌转让的不含权固定收益品种，选取估值日第三方估值机构提供的相应品种当日的估值全价进行估值。</w:t>
      </w:r>
    </w:p>
    <w:p w14:paraId="491464F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3）交易所上市交易或挂牌转让的含权固定收益品种，选取估值日第三方估值机构提供的相应品种当日的唯一估值全价或推荐估值全价进行估值。</w:t>
      </w:r>
    </w:p>
    <w:p w14:paraId="2E7178D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在交易所市场上市交易的公开发行的可转换债券等有活跃市场的含转股权的债券，实行全价交易的选取估值日收盘价作为估值全价；实行净价交易的选取估值日收盘价并加计每百元税前应计利息作为估值全价。</w:t>
      </w:r>
    </w:p>
    <w:p w14:paraId="5236DE8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5）交易所上市不存在活跃市场的有价证券，采用当前情况下适用并且有足够可利用数据和其他信息支持的估值技术确定公允价值。</w:t>
      </w:r>
    </w:p>
    <w:p w14:paraId="66A7FFA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5606C05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734C42C4" w14:textId="23D6BB56"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2）首次公开发行未上市的股票，采用估值技术确定公允价值。首次公开发行未上市的债券，采用在当前情况下适用并且有足够可利用数据和其他信息支持的估值技术确定其公允价值。</w:t>
      </w:r>
    </w:p>
    <w:p w14:paraId="4FAA3CE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0F06DA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4）对于未上市或未挂牌转让且不存在活跃市场的固定收益品种，应采用在当前情况下适用并且有足够可利用数据和其他信息支持的估值技术确定其公允价值。</w:t>
      </w:r>
    </w:p>
    <w:p w14:paraId="694F3FFD" w14:textId="77777777" w:rsidR="00FD53C6"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w:t>
      </w:r>
    </w:p>
    <w:p w14:paraId="32AC38F3" w14:textId="010B376D" w:rsidR="00C74F7E" w:rsidRDefault="00FD53C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009641F6">
        <w:rPr>
          <w:rFonts w:ascii="彩虹粗仿宋" w:eastAsia="彩虹粗仿宋" w:hAnsi="宋体" w:cs="Arial" w:hint="eastAsia"/>
          <w:sz w:val="24"/>
        </w:rPr>
        <w:t>对于含投资人回售权的固定收益品种，行使回售权的，在回售登记日至实际收款日期间选取第三方估值机构提供的相应品种的唯一估值全价或推荐估值全价，同时充分考虑发行人的信用风险变化对公允价值的影响；回售登记期截止日（含当日）后未行使回售权的按照长待偿期所对应的价格进行估值。</w:t>
      </w:r>
    </w:p>
    <w:p w14:paraId="14119779" w14:textId="7589D784"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427E26">
        <w:rPr>
          <w:rFonts w:ascii="彩虹粗仿宋" w:eastAsia="彩虹粗仿宋" w:hAnsi="宋体" w:cs="Arial"/>
          <w:sz w:val="24"/>
        </w:rPr>
        <w:t>5</w:t>
      </w:r>
      <w:r>
        <w:rPr>
          <w:rFonts w:ascii="彩虹粗仿宋" w:eastAsia="彩虹粗仿宋" w:hAnsi="宋体" w:cs="Arial" w:hint="eastAsia"/>
          <w:sz w:val="24"/>
        </w:rPr>
        <w:t>）同一证券同时在两个或两个以上市场交易的，按证券所处的市场分别估值。</w:t>
      </w:r>
    </w:p>
    <w:p w14:paraId="01ECC498" w14:textId="47DCFBA8"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427E26">
        <w:rPr>
          <w:rFonts w:ascii="彩虹粗仿宋" w:eastAsia="彩虹粗仿宋" w:hAnsi="宋体" w:cs="Arial"/>
          <w:sz w:val="24"/>
        </w:rPr>
        <w:t>6</w:t>
      </w:r>
      <w:r>
        <w:rPr>
          <w:rFonts w:ascii="彩虹粗仿宋" w:eastAsia="彩虹粗仿宋" w:hAnsi="宋体" w:cs="Arial" w:hint="eastAsia"/>
          <w:sz w:val="24"/>
        </w:rPr>
        <w:t>）本基金持有的银行定期存款、协议存款或通知存款以本金列示，根据存款协议列示的利息总额或约定利率每自然日计提利息。如提前支取或利率发生变化，则按需进行账务调整。</w:t>
      </w:r>
    </w:p>
    <w:p w14:paraId="733EA134" w14:textId="74F18F53"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w:t>
      </w:r>
      <w:r w:rsidR="00427E26">
        <w:rPr>
          <w:rFonts w:ascii="彩虹粗仿宋" w:eastAsia="彩虹粗仿宋" w:hAnsi="宋体" w:cs="Arial"/>
          <w:sz w:val="24"/>
        </w:rPr>
        <w:t>7</w:t>
      </w:r>
      <w:r>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44BB4B9E" w14:textId="13934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427E26">
        <w:rPr>
          <w:rFonts w:ascii="彩虹粗仿宋" w:eastAsia="彩虹粗仿宋" w:hAnsi="宋体" w:cs="Arial"/>
          <w:sz w:val="24"/>
        </w:rPr>
        <w:t>8</w:t>
      </w:r>
      <w:r>
        <w:rPr>
          <w:rFonts w:ascii="彩虹粗仿宋" w:eastAsia="彩虹粗仿宋" w:hAnsi="宋体" w:cs="Arial" w:hint="eastAsia"/>
          <w:sz w:val="24"/>
        </w:rPr>
        <w:t>）信用衍生品按第三方估值机构提供的当日的估值价格进行估值，但管理人依法应当承担的估值责任不因委托而免除；选定的第三方估值机构未提供估值价格的，依照有关法律法规及《企业会计准则》要求采用合理估值技术确定公允价值。</w:t>
      </w:r>
    </w:p>
    <w:p w14:paraId="6050C363" w14:textId="130C7AF1"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427E26">
        <w:rPr>
          <w:rFonts w:ascii="彩虹粗仿宋" w:eastAsia="彩虹粗仿宋" w:hAnsi="宋体" w:cs="Arial"/>
          <w:sz w:val="24"/>
        </w:rPr>
        <w:t>9</w:t>
      </w:r>
      <w:r>
        <w:rPr>
          <w:rFonts w:ascii="彩虹粗仿宋" w:eastAsia="彩虹粗仿宋" w:hAnsi="宋体" w:cs="Arial" w:hint="eastAsia"/>
          <w:sz w:val="24"/>
        </w:rPr>
        <w:t>）估值计算中涉及港币对人民币汇率的，将依据下列信息提供机构所提供的汇率为基准：当日中国人民银行或其授权机构公布的人民币与港币的中间价。</w:t>
      </w:r>
    </w:p>
    <w:p w14:paraId="1564A8C0" w14:textId="671F4899"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427E26">
        <w:rPr>
          <w:rFonts w:ascii="彩虹粗仿宋" w:eastAsia="彩虹粗仿宋" w:hAnsi="宋体" w:cs="Arial"/>
          <w:sz w:val="24"/>
        </w:rPr>
        <w:t>10</w:t>
      </w:r>
      <w:r>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1AA83EC" w14:textId="0F664803"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00427E26">
        <w:rPr>
          <w:rFonts w:ascii="彩虹粗仿宋" w:eastAsia="彩虹粗仿宋" w:hAnsi="宋体" w:cs="Arial"/>
          <w:sz w:val="24"/>
        </w:rPr>
        <w:t>1</w:t>
      </w:r>
      <w:r>
        <w:rPr>
          <w:rFonts w:ascii="彩虹粗仿宋" w:eastAsia="彩虹粗仿宋" w:hAnsi="宋体" w:cs="Arial" w:hint="eastAsia"/>
          <w:sz w:val="24"/>
        </w:rPr>
        <w:t xml:space="preserve">）本基金投资存托凭证的估值核算，依照境内上市交易的股票执行。 </w:t>
      </w:r>
    </w:p>
    <w:p w14:paraId="1593DB17" w14:textId="359F1B5D"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00427E26">
        <w:rPr>
          <w:rFonts w:ascii="彩虹粗仿宋" w:eastAsia="彩虹粗仿宋" w:hAnsi="宋体" w:cs="Arial"/>
          <w:sz w:val="24"/>
        </w:rPr>
        <w:t>2</w:t>
      </w:r>
      <w:r>
        <w:rPr>
          <w:rFonts w:ascii="彩虹粗仿宋" w:eastAsia="彩虹粗仿宋" w:hAnsi="宋体" w:cs="Arial" w:hint="eastAsia"/>
          <w:sz w:val="24"/>
        </w:rPr>
        <w:t>）本基金投资同业存单，采用估值日第三方估值机构提供的估值全价进行估值。</w:t>
      </w:r>
    </w:p>
    <w:p w14:paraId="6448B97A" w14:textId="24A4F762"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00427E26">
        <w:rPr>
          <w:rFonts w:ascii="彩虹粗仿宋" w:eastAsia="彩虹粗仿宋" w:hAnsi="宋体" w:cs="Arial"/>
          <w:sz w:val="24"/>
        </w:rPr>
        <w:t>3</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55005908" w14:textId="61784A30"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00427E26">
        <w:rPr>
          <w:rFonts w:ascii="彩虹粗仿宋" w:eastAsia="彩虹粗仿宋" w:hAnsi="宋体" w:cs="Arial"/>
          <w:sz w:val="24"/>
        </w:rPr>
        <w:t>4</w:t>
      </w:r>
      <w:r>
        <w:rPr>
          <w:rFonts w:ascii="彩虹粗仿宋" w:eastAsia="彩虹粗仿宋" w:hAnsi="宋体" w:cs="Arial" w:hint="eastAsia"/>
          <w:sz w:val="24"/>
        </w:rPr>
        <w:t>）当发生大额申购或赎回情形时，基金管理人可以采用摆动定价机制，以确保基金估值的公平性。</w:t>
      </w:r>
    </w:p>
    <w:p w14:paraId="09646E56" w14:textId="7BCCD825"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00427E26">
        <w:rPr>
          <w:rFonts w:ascii="彩虹粗仿宋" w:eastAsia="彩虹粗仿宋" w:hAnsi="宋体" w:cs="Arial"/>
          <w:sz w:val="24"/>
        </w:rPr>
        <w:t>5</w:t>
      </w:r>
      <w:r>
        <w:rPr>
          <w:rFonts w:ascii="彩虹粗仿宋" w:eastAsia="彩虹粗仿宋" w:hAnsi="宋体" w:cs="Arial" w:hint="eastAsia"/>
          <w:sz w:val="24"/>
        </w:rPr>
        <w:t>）对于发行人已破产、发行人未能按时足额偿付本金或利息，或者有</w:t>
      </w:r>
      <w:r>
        <w:rPr>
          <w:rFonts w:ascii="彩虹粗仿宋" w:eastAsia="彩虹粗仿宋" w:hAnsi="宋体" w:cs="Arial" w:hint="eastAsia"/>
          <w:sz w:val="24"/>
        </w:rPr>
        <w:lastRenderedPageBreak/>
        <w:t>其它可靠信息表明本金或利息无法按时足额偿付的债券投资品种，基金管理人在与托管人协商一致后，可采用第三方估值机构提供的推荐价格或在第三方估值机构提供的价格区间中的数据作为该债券投资品种的公允价值。</w:t>
      </w:r>
    </w:p>
    <w:p w14:paraId="6CE99854" w14:textId="4813EB39"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sidR="00427E26">
        <w:rPr>
          <w:rFonts w:ascii="彩虹粗仿宋" w:eastAsia="彩虹粗仿宋" w:hAnsi="宋体" w:cs="Arial"/>
          <w:sz w:val="24"/>
        </w:rPr>
        <w:t>6</w:t>
      </w:r>
      <w:r>
        <w:rPr>
          <w:rFonts w:ascii="彩虹粗仿宋" w:eastAsia="彩虹粗仿宋" w:hAnsi="宋体" w:cs="Arial" w:hint="eastAsia"/>
          <w:sz w:val="24"/>
        </w:rPr>
        <w:t>）相关法律法规以及监管部门有强制规定的，从其规定。如有新增事项，按国家最新规定估值。</w:t>
      </w:r>
    </w:p>
    <w:p w14:paraId="5885CC7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56EFDAA" w14:textId="2E2ACAC8"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由基金托管人承担复核责任。因此，就与本基金有关的会计问题，如经相关各方在平等基础上充分讨论后，仍无法达成一致的意见，</w:t>
      </w:r>
      <w:r>
        <w:rPr>
          <w:rFonts w:ascii="彩虹粗仿宋" w:eastAsia="彩虹粗仿宋" w:hint="eastAsia"/>
          <w:sz w:val="24"/>
          <w:szCs w:val="21"/>
        </w:rPr>
        <w:t>基金管理人向基金托管人出具盖章的书面说明后，</w:t>
      </w:r>
      <w:r>
        <w:rPr>
          <w:rFonts w:ascii="彩虹粗仿宋" w:eastAsia="彩虹粗仿宋" w:hAnsi="宋体" w:cs="Arial" w:hint="eastAsia"/>
          <w:sz w:val="24"/>
        </w:rPr>
        <w:t>按照基金管理人对基金净值信息的计算结果对外予以公布。</w:t>
      </w:r>
    </w:p>
    <w:p w14:paraId="6B79E95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3.特殊情形的处理</w:t>
      </w:r>
    </w:p>
    <w:p w14:paraId="3EF91A73" w14:textId="00AFD15F"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w:t>
      </w:r>
      <w:r>
        <w:rPr>
          <w:rFonts w:ascii="彩虹粗仿宋" w:eastAsia="彩虹粗仿宋" w:hAnsi="宋体" w:cs="Arial"/>
          <w:sz w:val="24"/>
        </w:rPr>
        <w:t>或</w:t>
      </w:r>
      <w:r>
        <w:rPr>
          <w:rFonts w:ascii="彩虹粗仿宋" w:eastAsia="彩虹粗仿宋" w:hAnsi="宋体" w:cs="Arial" w:hint="eastAsia"/>
          <w:sz w:val="24"/>
        </w:rPr>
        <w:t>基金托管人按估值方法的第(</w:t>
      </w:r>
      <w:r>
        <w:rPr>
          <w:rStyle w:val="read"/>
          <w:rFonts w:ascii="彩虹粗仿宋" w:eastAsia="彩虹粗仿宋" w:hAnsi="宋体" w:cs="Arial"/>
          <w:sz w:val="24"/>
        </w:rPr>
        <w:t>12</w:t>
      </w:r>
      <w:r>
        <w:rPr>
          <w:rFonts w:ascii="彩虹粗仿宋" w:eastAsia="彩虹粗仿宋" w:hAnsi="宋体" w:cs="Arial" w:hint="eastAsia"/>
          <w:sz w:val="24"/>
        </w:rPr>
        <w:t>)项进行估值时，所造成的误差不作为基金资产估值错误处理。</w:t>
      </w:r>
    </w:p>
    <w:p w14:paraId="75788D0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2）由于不可抗力，或证券交易所</w:t>
      </w:r>
      <w:r>
        <w:rPr>
          <w:rFonts w:ascii="彩虹粗仿宋" w:eastAsia="彩虹粗仿宋" w:hAnsi="宋体" w:cs="Arial" w:hint="eastAsia"/>
          <w:sz w:val="24"/>
        </w:rPr>
        <w:t>、期货交易所、登记结算机构及存款银行、证券/期货经纪机构等第三方机构发送的数据错误，或国家会计政策变更、市场规则变更等非基金管理人与基金托管人原因，基金管理人和基金托管人虽然已经采取必要、适当、合理的措施进行检查，但未能发现该错误或因前述原因未能避免或更正错误的，由此造成的基金财产估值错误，基金管理人和基金托管人可以免除赔偿责任。但基金管理人、基金托管人应当积极采取必要的措施消除或</w:t>
      </w:r>
      <w:r>
        <w:rPr>
          <w:rFonts w:ascii="彩虹粗仿宋" w:eastAsia="彩虹粗仿宋" w:hAnsi="宋体" w:cs="Arial" w:hint="eastAsia"/>
          <w:sz w:val="24"/>
        </w:rPr>
        <w:lastRenderedPageBreak/>
        <w:t>减轻由此造成的影响。</w:t>
      </w:r>
    </w:p>
    <w:p w14:paraId="2CC680C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14:paraId="5646763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1.当任一类基金份额净值小数点后</w:t>
      </w:r>
      <w:r>
        <w:rPr>
          <w:rFonts w:ascii="彩虹粗仿宋" w:eastAsia="彩虹粗仿宋" w:hAnsi="宋体" w:cs="Arial"/>
          <w:sz w:val="24"/>
        </w:rPr>
        <w:t>4</w:t>
      </w:r>
      <w:r>
        <w:rPr>
          <w:rFonts w:ascii="彩虹粗仿宋" w:eastAsia="彩虹粗仿宋" w:hAnsi="宋体" w:cs="Arial" w:hint="eastAsia"/>
          <w:sz w:val="24"/>
        </w:rPr>
        <w:t>位以内(含第</w:t>
      </w:r>
      <w:r>
        <w:rPr>
          <w:rFonts w:ascii="彩虹粗仿宋" w:eastAsia="彩虹粗仿宋" w:hAnsi="宋体" w:cs="Arial"/>
          <w:sz w:val="24"/>
        </w:rPr>
        <w:t>4</w:t>
      </w:r>
      <w:r>
        <w:rPr>
          <w:rFonts w:ascii="彩虹粗仿宋" w:eastAsia="彩虹粗仿宋" w:hAnsi="宋体" w:cs="Arial" w:hint="eastAsia"/>
          <w:sz w:val="24"/>
        </w:rPr>
        <w:t>位)发生估值错误时，视为该类基金份额净值错误；任一类基金份额净值计算出现错误时，基金管理人应当立即予以纠正，通知基金托管人，并采取合理的措施防止损失进一步扩大；错误偏差达到该类基金份额净值的0.25%时，基金管理人应当通知基金托管人并报中国证监会备案；错误偏</w:t>
      </w:r>
      <w:r>
        <w:rPr>
          <w:rFonts w:ascii="彩虹粗仿宋" w:eastAsia="彩虹粗仿宋" w:hint="eastAsia"/>
          <w:sz w:val="24"/>
          <w:szCs w:val="21"/>
        </w:rPr>
        <w:t>差达到</w:t>
      </w:r>
      <w:r>
        <w:rPr>
          <w:rFonts w:ascii="彩虹粗仿宋" w:eastAsia="彩虹粗仿宋" w:hAnsi="宋体" w:cs="Arial" w:hint="eastAsia"/>
          <w:sz w:val="24"/>
        </w:rPr>
        <w:t>该类基金份额净值的0.5%时，基金管理人应当公告，</w:t>
      </w:r>
      <w:r>
        <w:rPr>
          <w:rFonts w:ascii="彩虹粗仿宋" w:eastAsia="彩虹粗仿宋" w:hAnsi="宋体" w:cs="Arial"/>
          <w:sz w:val="24"/>
        </w:rPr>
        <w:t>并报中国证监会备案</w:t>
      </w:r>
      <w:r>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6831A006" w14:textId="77777777" w:rsidR="00C74F7E" w:rsidRDefault="009641F6">
      <w:pPr>
        <w:adjustRightInd w:val="0"/>
        <w:snapToGrid w:val="0"/>
        <w:spacing w:line="360" w:lineRule="auto"/>
        <w:ind w:firstLineChars="200" w:firstLine="480"/>
        <w:rPr>
          <w:rFonts w:ascii="彩虹粗仿宋" w:eastAsia="彩虹粗仿宋" w:hAnsi="宋体" w:cs="Arial"/>
          <w:sz w:val="24"/>
        </w:rPr>
      </w:pPr>
      <w:bookmarkStart w:id="118" w:name="_Hlk40386660"/>
      <w:r>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52D4FF0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048FBF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(2)若基金管理人计算的各类基金份额净值已由基金托管人复核确认后公告，而且基金托管人未对计算过程提出疑义或要求基金管理</w:t>
      </w:r>
      <w:r>
        <w:rPr>
          <w:rFonts w:ascii="彩虹粗仿宋" w:eastAsia="彩虹粗仿宋" w:hint="eastAsia"/>
          <w:kern w:val="0"/>
          <w:sz w:val="24"/>
        </w:rPr>
        <w:t>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AF66089"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(3)如基金管理人和基金托管人对各类基金份额净值的计算结果，虽然多次</w:t>
      </w:r>
      <w:r>
        <w:rPr>
          <w:rFonts w:ascii="彩虹粗仿宋" w:eastAsia="彩虹粗仿宋" w:hAnsi="宋体" w:cs="Arial" w:hint="eastAsia"/>
          <w:sz w:val="24"/>
        </w:rPr>
        <w:lastRenderedPageBreak/>
        <w:t>重新计算和核对，尚不能达成一致时，为避免不能按时公布各类基金份额净值的情形，以基金管理人的计算结果对外公布，由此给基金份额持有人和基金造成的损失，由基金管理人负责赔付。</w:t>
      </w:r>
    </w:p>
    <w:p w14:paraId="78E237A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97D808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.基金管理人和基金托管人由于各自技术系统设置而产生的净值计算尾差，以基金管理人计算结果为准。</w:t>
      </w:r>
    </w:p>
    <w:p w14:paraId="7EB938F9"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.前述内容如法律法规或监管机构另有规定的，从其规定处理。如果行业另有通行做法，基金管理人和基金托管人应本着平等和保护基金份额持有人利益的原则进行协商。</w:t>
      </w:r>
    </w:p>
    <w:p w14:paraId="22CB988D" w14:textId="77777777" w:rsidR="00C74F7E" w:rsidRDefault="009641F6">
      <w:pPr>
        <w:adjustRightInd w:val="0"/>
        <w:snapToGrid w:val="0"/>
        <w:spacing w:line="360" w:lineRule="auto"/>
        <w:ind w:firstLine="480"/>
        <w:rPr>
          <w:rFonts w:ascii="彩虹粗仿宋" w:eastAsia="彩虹粗仿宋" w:hAnsi="宋体" w:cs="Arial"/>
          <w:sz w:val="24"/>
        </w:rPr>
      </w:pPr>
      <w:bookmarkStart w:id="119" w:name="_Hlk40386949"/>
      <w:bookmarkEnd w:id="118"/>
      <w:r>
        <w:rPr>
          <w:rFonts w:ascii="彩虹粗仿宋" w:eastAsia="彩虹粗仿宋" w:hAnsi="宋体" w:cs="Arial" w:hint="eastAsia"/>
          <w:sz w:val="24"/>
        </w:rPr>
        <w:t>（四）暂停估值的情形</w:t>
      </w:r>
    </w:p>
    <w:p w14:paraId="77A828DE" w14:textId="73FFCDDA"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1.基金投资所涉及的证券、期货交易市场或外汇市场遇法定节假日或因其他原因暂停营业或者基金参与港股通交易且港股通临时停市时；</w:t>
      </w:r>
    </w:p>
    <w:p w14:paraId="0934D014"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4A1F3375"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3.当特定资产占前一估值日基金资产净值50%以上的，经与基金托管人协商确认后，基金管理人</w:t>
      </w:r>
      <w:r>
        <w:rPr>
          <w:rFonts w:ascii="彩虹粗仿宋" w:eastAsia="彩虹粗仿宋" w:hAnsi="宋体" w:cs="Arial"/>
          <w:sz w:val="24"/>
        </w:rPr>
        <w:t>应当暂停估值</w:t>
      </w:r>
      <w:r>
        <w:rPr>
          <w:rFonts w:ascii="彩虹粗仿宋" w:eastAsia="彩虹粗仿宋" w:hAnsi="宋体" w:cs="Arial" w:hint="eastAsia"/>
          <w:sz w:val="24"/>
        </w:rPr>
        <w:t>；</w:t>
      </w:r>
    </w:p>
    <w:p w14:paraId="2A05DF14" w14:textId="77777777" w:rsidR="00C74F7E" w:rsidRDefault="009641F6">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w:t>
      </w:r>
      <w:r>
        <w:rPr>
          <w:rFonts w:hint="eastAsia"/>
        </w:rPr>
        <w:t xml:space="preserve"> </w:t>
      </w:r>
      <w:r>
        <w:rPr>
          <w:rFonts w:ascii="彩虹粗仿宋" w:eastAsia="彩虹粗仿宋" w:hAnsi="宋体" w:cs="Arial" w:hint="eastAsia"/>
          <w:sz w:val="24"/>
        </w:rPr>
        <w:t>法律法规、中国证监会和基金</w:t>
      </w:r>
      <w:bookmarkEnd w:id="119"/>
      <w:r>
        <w:rPr>
          <w:rFonts w:ascii="彩虹粗仿宋" w:eastAsia="彩虹粗仿宋" w:hAnsi="宋体" w:cs="Arial" w:hint="eastAsia"/>
          <w:sz w:val="24"/>
        </w:rPr>
        <w:t>合同认定的其它情形。</w:t>
      </w:r>
    </w:p>
    <w:p w14:paraId="3E4BD85C" w14:textId="77777777" w:rsidR="00C74F7E" w:rsidRDefault="009641F6" w:rsidP="007509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14:paraId="7EB80FF1" w14:textId="77777777" w:rsidR="00C74F7E" w:rsidRDefault="009641F6" w:rsidP="007509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76489E89" w14:textId="77777777" w:rsidR="00C74F7E" w:rsidRDefault="009641F6" w:rsidP="007509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w:t>
      </w:r>
      <w:r>
        <w:rPr>
          <w:rFonts w:ascii="彩虹粗仿宋" w:eastAsia="彩虹粗仿宋" w:hAnsi="宋体" w:cs="Arial"/>
          <w:sz w:val="24"/>
        </w:rPr>
        <w:t>六</w:t>
      </w:r>
      <w:r>
        <w:rPr>
          <w:rFonts w:ascii="彩虹粗仿宋" w:eastAsia="彩虹粗仿宋" w:hAnsi="宋体" w:cs="Arial" w:hint="eastAsia"/>
          <w:sz w:val="24"/>
        </w:rPr>
        <w:t>）基金会计制度</w:t>
      </w:r>
    </w:p>
    <w:p w14:paraId="5AF6F61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4F4AAD3C"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（七）基金账册的建立</w:t>
      </w:r>
    </w:p>
    <w:p w14:paraId="7EE4C67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299DA941"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）基金财务报表与报告的编制和复核</w:t>
      </w:r>
    </w:p>
    <w:p w14:paraId="2072F21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74BF11A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6115530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0A1F8DF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795DC59"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4B33353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068CAA8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w:t>
      </w:r>
      <w:r>
        <w:rPr>
          <w:rFonts w:ascii="彩虹粗仿宋" w:eastAsia="彩虹粗仿宋" w:hAnsi="宋体" w:cs="Arial" w:hint="eastAsia"/>
          <w:sz w:val="24"/>
        </w:rPr>
        <w:lastRenderedPageBreak/>
        <w:t>编制当期季度报告、中期报告或者年度报告。</w:t>
      </w:r>
    </w:p>
    <w:p w14:paraId="5D772EC5"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(2)报表的复核</w:t>
      </w:r>
    </w:p>
    <w:p w14:paraId="404A3613"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A095010"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52517BDC"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14:paraId="1B097F1D" w14:textId="77777777" w:rsidR="00C74F7E" w:rsidRDefault="00C74F7E">
      <w:pPr>
        <w:pStyle w:val="a0"/>
        <w:adjustRightInd w:val="0"/>
        <w:snapToGrid w:val="0"/>
        <w:spacing w:line="360" w:lineRule="auto"/>
        <w:ind w:firstLineChars="0" w:firstLine="0"/>
        <w:rPr>
          <w:rFonts w:ascii="彩虹粗仿宋" w:eastAsia="彩虹粗仿宋" w:hAnsi="宋体" w:cs="Arial"/>
          <w:sz w:val="24"/>
        </w:rPr>
      </w:pPr>
    </w:p>
    <w:p w14:paraId="565E4D5B" w14:textId="77777777" w:rsidR="00C74F7E" w:rsidRDefault="009641F6">
      <w:pPr>
        <w:pStyle w:val="2"/>
        <w:spacing w:before="0" w:after="0" w:line="360" w:lineRule="auto"/>
        <w:jc w:val="center"/>
        <w:rPr>
          <w:rFonts w:ascii="彩虹粗仿宋" w:eastAsia="彩虹粗仿宋"/>
          <w:sz w:val="30"/>
        </w:rPr>
      </w:pPr>
      <w:bookmarkStart w:id="120" w:name="_Toc7192"/>
      <w:bookmarkStart w:id="121" w:name="_Toc9491"/>
      <w:bookmarkStart w:id="122" w:name="_Toc78446131"/>
      <w:bookmarkStart w:id="123" w:name="_Toc29458"/>
      <w:r>
        <w:rPr>
          <w:rFonts w:ascii="彩虹粗仿宋" w:eastAsia="彩虹粗仿宋" w:hint="eastAsia"/>
          <w:sz w:val="30"/>
        </w:rPr>
        <w:t>九、基金收益分配</w:t>
      </w:r>
      <w:bookmarkEnd w:id="120"/>
      <w:bookmarkEnd w:id="121"/>
      <w:bookmarkEnd w:id="122"/>
      <w:bookmarkEnd w:id="123"/>
    </w:p>
    <w:p w14:paraId="7ACA8362"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461F32F3" w14:textId="77777777" w:rsidR="00C74F7E" w:rsidRDefault="009641F6" w:rsidP="007509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35F260EE"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2E7D5D5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1.在符合有关基金分红条件的前提下，基金管理人可以根据实际情况进行收益分配，具体分配方案详见届时基金管理人发布的公告，若《基金合同》生效不满3个月可不进行收益分配；</w:t>
      </w:r>
    </w:p>
    <w:p w14:paraId="1A725BA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 xml:space="preserve">2.本基金收益分配方式分两种：现金分红与红利再投资，投资者可选择现金红利或将现金红利自动转为相应类别的基金份额进行再投资；若投资者不选择，本基金默认的收益分配方式是现金分红； </w:t>
      </w:r>
    </w:p>
    <w:p w14:paraId="3033AE8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3.基金收益分配后各类基金份额净值均不能低于面值，即基金收益分配基准日的各类基金份额净值减去每单位该类基金份额收益分配金额后不能低于面值；</w:t>
      </w:r>
    </w:p>
    <w:p w14:paraId="49BA363F"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4.本基金同一类别的每一基金份额享有同等分配权，由于本基金各类基金份额收取费用情况不同，各基金份额类别对应的可供分配利润将有所不同；</w:t>
      </w:r>
    </w:p>
    <w:p w14:paraId="07BFEF40"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694A0DFD" w14:textId="04E273AC"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在对基金份额持有人利益无实质不利影响的前提下，基金管理人可在法律法规允许的前提下经与基金托管人协商一致并按照监管部门要求履行适当程序后酌情调整以上基金收益分配原则，并应于调整实施日前在规定媒介公告。</w:t>
      </w:r>
    </w:p>
    <w:p w14:paraId="59079566"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12FB58E0"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14:paraId="4F8D55A7"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7C1BBE0F"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4F572FD9" w14:textId="77777777" w:rsidR="00C74F7E" w:rsidRDefault="009641F6">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14:paraId="5ED36EF9" w14:textId="77777777" w:rsidR="00C74F7E" w:rsidRDefault="00C74F7E">
      <w:pPr>
        <w:adjustRightInd w:val="0"/>
        <w:snapToGrid w:val="0"/>
        <w:spacing w:line="360" w:lineRule="auto"/>
        <w:rPr>
          <w:rFonts w:ascii="彩虹粗仿宋" w:eastAsia="彩虹粗仿宋" w:hAnsi="宋体" w:cs="Arial"/>
          <w:sz w:val="24"/>
        </w:rPr>
      </w:pPr>
    </w:p>
    <w:p w14:paraId="705529CF" w14:textId="77777777" w:rsidR="00C74F7E" w:rsidRDefault="009641F6">
      <w:pPr>
        <w:pStyle w:val="2"/>
        <w:spacing w:before="0" w:after="0" w:line="360" w:lineRule="auto"/>
        <w:jc w:val="center"/>
        <w:rPr>
          <w:rFonts w:ascii="彩虹粗仿宋" w:eastAsia="彩虹粗仿宋"/>
          <w:sz w:val="30"/>
        </w:rPr>
      </w:pPr>
      <w:bookmarkStart w:id="124" w:name="_Toc25873"/>
      <w:bookmarkStart w:id="125" w:name="_Toc78446132"/>
      <w:bookmarkStart w:id="126" w:name="_Toc15751"/>
      <w:bookmarkStart w:id="127" w:name="_Toc27466"/>
      <w:r>
        <w:rPr>
          <w:rFonts w:ascii="彩虹粗仿宋" w:eastAsia="彩虹粗仿宋" w:hint="eastAsia"/>
          <w:sz w:val="30"/>
        </w:rPr>
        <w:t>十、基金信息披露</w:t>
      </w:r>
      <w:bookmarkEnd w:id="124"/>
      <w:bookmarkEnd w:id="125"/>
      <w:bookmarkEnd w:id="126"/>
      <w:bookmarkEnd w:id="127"/>
    </w:p>
    <w:p w14:paraId="0E31E4DC"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2B258CBD"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基金托管人和基金管理人应按法律法规、《基金合同》的有关规定进行信息披露，拟公开披露的信息在公开披露之前应予保密。除按《基金法》、《基金合同》、《信息披露办法》、《流动性</w:t>
      </w:r>
      <w:r>
        <w:rPr>
          <w:rFonts w:ascii="彩虹粗仿宋" w:eastAsia="彩虹粗仿宋" w:hAnsi="宋体" w:cs="Arial"/>
          <w:sz w:val="24"/>
        </w:rPr>
        <w:t>风险规定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5A94E6B5"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1D638280"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D922CB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依法向监管机构、司法机关提供或因审计、法律等向外部专业顾问提供的情况。</w:t>
      </w:r>
    </w:p>
    <w:p w14:paraId="3BC91AA7"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2D1053C8" w14:textId="7E7C3ABD" w:rsidR="00C74F7E" w:rsidRDefault="009641F6">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含资产组合季度报告））、临时报告、澄清公告、基金份额持有人大会决议</w:t>
      </w:r>
      <w:r>
        <w:rPr>
          <w:rFonts w:ascii="彩虹粗仿宋" w:eastAsia="彩虹粗仿宋" w:hAnsi="宋体" w:cs="Arial"/>
          <w:sz w:val="24"/>
        </w:rPr>
        <w:t>、</w:t>
      </w:r>
      <w:r>
        <w:rPr>
          <w:rFonts w:ascii="彩虹粗仿宋" w:eastAsia="彩虹粗仿宋" w:hAnsi="宋体" w:cs="Arial" w:hint="eastAsia"/>
          <w:sz w:val="24"/>
        </w:rPr>
        <w:t>投资资产支持证券的信息披露、投资国债期货的信息披露</w:t>
      </w:r>
      <w:r>
        <w:rPr>
          <w:rFonts w:ascii="彩虹粗仿宋" w:eastAsia="彩虹粗仿宋" w:hAnsi="宋体" w:cs="Arial"/>
          <w:sz w:val="24"/>
        </w:rPr>
        <w:t>、</w:t>
      </w:r>
      <w:r>
        <w:rPr>
          <w:rFonts w:ascii="彩虹粗仿宋" w:eastAsia="彩虹粗仿宋" w:hAnsi="宋体" w:cs="Arial" w:hint="eastAsia"/>
          <w:sz w:val="24"/>
        </w:rPr>
        <w:t>投资流通受限证券的信息披露、</w:t>
      </w:r>
      <w:r>
        <w:rPr>
          <w:rFonts w:ascii="彩虹粗仿宋" w:eastAsia="彩虹粗仿宋" w:hAnsi="宋体" w:cs="Arial" w:hint="eastAsia"/>
          <w:bCs/>
          <w:sz w:val="24"/>
        </w:rPr>
        <w:t>投资港股通标的股票的信息披露</w:t>
      </w:r>
      <w:r>
        <w:rPr>
          <w:rFonts w:ascii="彩虹粗仿宋" w:eastAsia="彩虹粗仿宋" w:hAnsi="宋体" w:cs="Arial" w:hint="eastAsia"/>
          <w:sz w:val="24"/>
        </w:rPr>
        <w:t>、清算报告、实施侧袋机制期间的信息披露、</w:t>
      </w:r>
      <w:r>
        <w:rPr>
          <w:rFonts w:ascii="彩虹粗仿宋" w:eastAsia="彩虹粗仿宋" w:hAnsi="宋体" w:cs="Arial" w:hint="eastAsia"/>
          <w:bCs/>
          <w:sz w:val="24"/>
        </w:rPr>
        <w:t>投资存托凭证的信息披露、信用衍生品的投资情况</w:t>
      </w:r>
      <w:r>
        <w:rPr>
          <w:rFonts w:ascii="彩虹粗仿宋" w:eastAsia="彩虹粗仿宋" w:hAnsi="宋体" w:cs="Arial"/>
          <w:sz w:val="24"/>
        </w:rPr>
        <w:t>及</w:t>
      </w:r>
      <w:r>
        <w:rPr>
          <w:rFonts w:ascii="彩虹粗仿宋" w:eastAsia="彩虹粗仿宋" w:hAnsi="宋体" w:cs="Arial" w:hint="eastAsia"/>
          <w:sz w:val="24"/>
        </w:rPr>
        <w:t>中国证监会规定的其他信息。基金年度报告中的财务会计报告需经符合《中华人民共和国证券法》规定的会计师事务所审计后，方可披露。</w:t>
      </w:r>
    </w:p>
    <w:p w14:paraId="666AF4B3"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303A571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492BBB9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DC8461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773640C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775F799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w:t>
      </w:r>
      <w:r>
        <w:rPr>
          <w:rFonts w:ascii="彩虹粗仿宋" w:eastAsia="彩虹粗仿宋" w:hint="eastAsia"/>
          <w:sz w:val="24"/>
        </w:rPr>
        <w:t>规定</w:t>
      </w:r>
      <w:r>
        <w:rPr>
          <w:rFonts w:ascii="彩虹粗仿宋" w:eastAsia="彩虹粗仿宋" w:hAnsi="宋体" w:cs="Arial" w:hint="eastAsia"/>
          <w:sz w:val="24"/>
        </w:rPr>
        <w:t>媒介披露。根据法律法规应由基金托管人公开披露的信息，基金托管人将通过</w:t>
      </w:r>
      <w:r>
        <w:rPr>
          <w:rFonts w:ascii="彩虹粗仿宋" w:eastAsia="彩虹粗仿宋" w:hint="eastAsia"/>
          <w:sz w:val="24"/>
        </w:rPr>
        <w:t>规定</w:t>
      </w:r>
      <w:r>
        <w:rPr>
          <w:rFonts w:ascii="彩虹粗仿宋" w:eastAsia="彩虹粗仿宋" w:hAnsi="宋体" w:cs="Arial" w:hint="eastAsia"/>
          <w:sz w:val="24"/>
        </w:rPr>
        <w:t>媒介公开披露。</w:t>
      </w:r>
    </w:p>
    <w:p w14:paraId="24C78BEA" w14:textId="77777777" w:rsidR="00C74F7E" w:rsidRDefault="009641F6">
      <w:pPr>
        <w:adjustRightInd w:val="0"/>
        <w:snapToGrid w:val="0"/>
        <w:spacing w:line="360" w:lineRule="auto"/>
        <w:ind w:firstLineChars="200" w:firstLine="480"/>
        <w:rPr>
          <w:rFonts w:ascii="彩虹粗仿宋" w:eastAsia="彩虹粗仿宋" w:hAnsi="宋体" w:cs="Arial"/>
          <w:sz w:val="24"/>
        </w:rPr>
      </w:pPr>
      <w:bookmarkStart w:id="128" w:name="_Hlk40387556"/>
      <w:r>
        <w:rPr>
          <w:rFonts w:ascii="彩虹粗仿宋" w:eastAsia="彩虹粗仿宋" w:hAnsi="宋体" w:cs="Arial" w:hint="eastAsia"/>
          <w:sz w:val="24"/>
        </w:rPr>
        <w:t>当出现下述情况时，基金管理人和基金托管人可暂停或延迟披露基金相关信息：</w:t>
      </w:r>
    </w:p>
    <w:p w14:paraId="164F5A9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（1）因不可抗力或其他情形致使基金管理人、基金托管人无法准确评估基金资产价值时；</w:t>
      </w:r>
    </w:p>
    <w:p w14:paraId="7D5215E2" w14:textId="7EE659C5"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（2）基金投资所涉及的证券、期货交易市场或外汇市场遇法定节假日或因其他原因暂停营业或者基金参与港股通交易且港股通临时停市时；</w:t>
      </w:r>
    </w:p>
    <w:p w14:paraId="1976EB8D" w14:textId="4BB7C99B"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（3）发生基金合同约定的暂停估值的情形；</w:t>
      </w:r>
    </w:p>
    <w:p w14:paraId="02374875" w14:textId="64BE1B05"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（4）法律法规、《基金合同》或中国证监会规定的其他情况。</w:t>
      </w:r>
    </w:p>
    <w:bookmarkEnd w:id="128"/>
    <w:p w14:paraId="1DE367E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3814DF2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w:t>
      </w:r>
      <w:r>
        <w:rPr>
          <w:rFonts w:ascii="彩虹粗仿宋" w:eastAsia="彩虹粗仿宋" w:hAnsi="宋体" w:cs="Arial" w:hint="eastAsia"/>
          <w:sz w:val="24"/>
        </w:rPr>
        <w:lastRenderedPageBreak/>
        <w:t>时，按《基金合同》规定公布。</w:t>
      </w:r>
    </w:p>
    <w:p w14:paraId="13C0F54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6C8E0A57" w14:textId="5B2FC139" w:rsidR="00C74F7E" w:rsidRDefault="009641F6">
      <w:pPr>
        <w:pStyle w:val="a0"/>
        <w:spacing w:line="360" w:lineRule="auto"/>
        <w:ind w:firstLine="480"/>
        <w:rPr>
          <w:rFonts w:ascii="彩虹粗仿宋" w:eastAsia="彩虹粗仿宋" w:hAnsi="宋体" w:cs="Arial"/>
          <w:sz w:val="24"/>
        </w:rPr>
      </w:pPr>
      <w:r>
        <w:rPr>
          <w:rFonts w:ascii="彩虹粗仿宋" w:eastAsia="彩虹粗仿宋" w:hAnsi="宋体" w:cs="Arial" w:hint="eastAsia"/>
          <w:bCs/>
          <w:sz w:val="24"/>
        </w:rPr>
        <w:t>依法必须披露的信息发布后，基金管理人、基金托管人应当按照相关法律法规规定将信息置备于公司住所，供社会公众查阅、复制。</w:t>
      </w:r>
      <w:r>
        <w:rPr>
          <w:rFonts w:ascii="彩虹粗仿宋" w:eastAsia="彩虹粗仿宋" w:hAnsi="宋体" w:cs="Arial" w:hint="eastAsia"/>
          <w:sz w:val="24"/>
        </w:rPr>
        <w:t>基金管理人和基金托管人应保证文本的内容与所公告的内容完全一致。</w:t>
      </w:r>
    </w:p>
    <w:p w14:paraId="202FA73D" w14:textId="77777777" w:rsidR="00C74F7E" w:rsidRDefault="009641F6">
      <w:pPr>
        <w:pStyle w:val="a0"/>
        <w:spacing w:line="360" w:lineRule="auto"/>
        <w:ind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14:paraId="5F2F9DE9" w14:textId="77777777" w:rsidR="00C74F7E" w:rsidRDefault="009641F6">
      <w:pPr>
        <w:pStyle w:val="a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本基金实施侧袋机制的，相关信息披露义务人应当根据法律法规、基金合同和招募说明书的规定进行信息披露，详见招募说明书的规定或相关公告。</w:t>
      </w:r>
    </w:p>
    <w:p w14:paraId="63202520" w14:textId="77777777" w:rsidR="00C74F7E" w:rsidRDefault="009641F6">
      <w:pPr>
        <w:pStyle w:val="a0"/>
        <w:ind w:firstLine="480"/>
        <w:rPr>
          <w:rFonts w:ascii="彩虹粗仿宋" w:eastAsia="彩虹粗仿宋" w:hAnsi="宋体" w:cs="Arial"/>
          <w:sz w:val="24"/>
        </w:rPr>
      </w:pPr>
      <w:r>
        <w:rPr>
          <w:rFonts w:ascii="彩虹粗仿宋" w:eastAsia="彩虹粗仿宋" w:hAnsi="宋体" w:cs="Arial" w:hint="eastAsia"/>
          <w:sz w:val="24"/>
        </w:rPr>
        <w:t>（五）法律法规或监管部门对适用于本基金的信息披露另有规定的，从其规定。如规定发生变化的，从其最新规定。</w:t>
      </w:r>
    </w:p>
    <w:p w14:paraId="6CDC867C" w14:textId="77777777" w:rsidR="00C74F7E" w:rsidRDefault="00C74F7E">
      <w:pPr>
        <w:pStyle w:val="a0"/>
        <w:spacing w:line="360" w:lineRule="auto"/>
        <w:ind w:firstLine="480"/>
        <w:rPr>
          <w:rFonts w:ascii="彩虹粗仿宋" w:eastAsia="彩虹粗仿宋" w:hAnsi="宋体" w:cs="Arial"/>
          <w:sz w:val="24"/>
        </w:rPr>
      </w:pPr>
    </w:p>
    <w:p w14:paraId="40C9C9D0" w14:textId="77777777" w:rsidR="00C74F7E" w:rsidRDefault="00C74F7E">
      <w:pPr>
        <w:pStyle w:val="a0"/>
        <w:spacing w:line="360" w:lineRule="auto"/>
        <w:ind w:firstLineChars="0" w:firstLine="0"/>
        <w:rPr>
          <w:rFonts w:ascii="彩虹粗仿宋" w:eastAsia="彩虹粗仿宋" w:hAnsi="宋体" w:cs="Arial"/>
          <w:sz w:val="24"/>
        </w:rPr>
      </w:pPr>
    </w:p>
    <w:p w14:paraId="1850060F" w14:textId="77777777" w:rsidR="00C74F7E" w:rsidRDefault="009641F6">
      <w:pPr>
        <w:pStyle w:val="2"/>
        <w:spacing w:before="0" w:after="0" w:line="360" w:lineRule="auto"/>
        <w:jc w:val="center"/>
        <w:rPr>
          <w:rFonts w:ascii="彩虹粗仿宋" w:eastAsia="彩虹粗仿宋"/>
          <w:sz w:val="30"/>
        </w:rPr>
      </w:pPr>
      <w:bookmarkStart w:id="129" w:name="_Toc15180"/>
      <w:bookmarkStart w:id="130" w:name="_Toc78446133"/>
      <w:bookmarkStart w:id="131" w:name="_Toc8284"/>
      <w:bookmarkStart w:id="132" w:name="_Toc30151"/>
      <w:r>
        <w:rPr>
          <w:rFonts w:ascii="彩虹粗仿宋" w:eastAsia="彩虹粗仿宋" w:hint="eastAsia"/>
          <w:sz w:val="30"/>
        </w:rPr>
        <w:t>十一、基金费用</w:t>
      </w:r>
      <w:bookmarkEnd w:id="129"/>
      <w:bookmarkEnd w:id="130"/>
      <w:bookmarkEnd w:id="131"/>
      <w:bookmarkEnd w:id="132"/>
    </w:p>
    <w:p w14:paraId="51052A97"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4E3FC516"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本基金的管理费按前一日基金资产净值的0.60%年费率计提。管理费的计算方法如下：</w:t>
      </w:r>
    </w:p>
    <w:p w14:paraId="7F78BBD9"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H＝E×0.6</w:t>
      </w:r>
      <w:r>
        <w:rPr>
          <w:rFonts w:ascii="彩虹粗仿宋" w:eastAsia="彩虹粗仿宋" w:hAnsi="宋体" w:cs="Arial"/>
          <w:sz w:val="24"/>
        </w:rPr>
        <w:t>0</w:t>
      </w:r>
      <w:r>
        <w:rPr>
          <w:rFonts w:ascii="彩虹粗仿宋" w:eastAsia="彩虹粗仿宋" w:hAnsi="宋体" w:cs="Arial" w:hint="eastAsia"/>
          <w:sz w:val="24"/>
        </w:rPr>
        <w:t>%÷当年天数</w:t>
      </w:r>
    </w:p>
    <w:p w14:paraId="55CB7263"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78F011D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2CEA133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2AF00D3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15</w:t>
      </w:r>
      <w:r>
        <w:rPr>
          <w:rFonts w:ascii="彩虹粗仿宋" w:eastAsia="彩虹粗仿宋" w:hAnsi="宋体" w:cs="Arial" w:hint="eastAsia"/>
          <w:sz w:val="24"/>
        </w:rPr>
        <w:t>%的年费率计提。托管费的计算方法如下：</w:t>
      </w:r>
    </w:p>
    <w:p w14:paraId="5637772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H＝E×0.</w:t>
      </w:r>
      <w:r>
        <w:rPr>
          <w:rFonts w:ascii="彩虹粗仿宋" w:eastAsia="彩虹粗仿宋" w:hAnsi="宋体" w:cs="Arial"/>
          <w:sz w:val="24"/>
        </w:rPr>
        <w:t>15</w:t>
      </w:r>
      <w:r>
        <w:rPr>
          <w:rFonts w:ascii="彩虹粗仿宋" w:eastAsia="彩虹粗仿宋" w:hAnsi="宋体" w:cs="Arial" w:hint="eastAsia"/>
          <w:sz w:val="24"/>
        </w:rPr>
        <w:t>%÷当年天数</w:t>
      </w:r>
    </w:p>
    <w:p w14:paraId="28E214C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04436CA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29AB5CF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sz w:val="24"/>
        </w:rPr>
        <w:t>（三）</w:t>
      </w:r>
      <w:r>
        <w:rPr>
          <w:rFonts w:ascii="彩虹粗仿宋" w:eastAsia="彩虹粗仿宋" w:hAnsi="宋体" w:cs="Arial" w:hint="eastAsia"/>
          <w:sz w:val="24"/>
        </w:rPr>
        <w:t>基金销售服务费的计提比例和计提方法</w:t>
      </w:r>
    </w:p>
    <w:p w14:paraId="2E1B437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w:t>
      </w:r>
      <w:r>
        <w:rPr>
          <w:rFonts w:ascii="彩虹粗仿宋" w:eastAsia="彩虹粗仿宋" w:hAnsi="宋体" w:cs="Arial"/>
          <w:sz w:val="24"/>
        </w:rPr>
        <w:t>3</w:t>
      </w:r>
      <w:r>
        <w:rPr>
          <w:rFonts w:ascii="彩虹粗仿宋" w:eastAsia="彩虹粗仿宋" w:hAnsi="宋体" w:cs="Arial" w:hint="eastAsia"/>
          <w:sz w:val="24"/>
        </w:rPr>
        <w:t>0%。本基金销售服务费将专门用于本基金的销售与基金份额持有人服务。</w:t>
      </w:r>
    </w:p>
    <w:p w14:paraId="66F7A868" w14:textId="52148956"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销售服务费按C类基金份额前一日的基金资产净值的0.30%年费率计提。计算方法如下：</w:t>
      </w:r>
    </w:p>
    <w:p w14:paraId="460493D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3</w:t>
      </w:r>
      <w:r>
        <w:rPr>
          <w:rFonts w:ascii="彩虹粗仿宋" w:eastAsia="彩虹粗仿宋" w:hAnsi="宋体" w:cs="Arial" w:hint="eastAsia"/>
          <w:sz w:val="24"/>
        </w:rPr>
        <w:t>0%÷当年天数</w:t>
      </w:r>
    </w:p>
    <w:p w14:paraId="38A98FA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5BF9CC7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14:paraId="1926E627"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）基金证券、期货、信用衍生品账户的开户费用、账户维护费用、基金的证券、期货交易结算费用、因</w:t>
      </w:r>
      <w:r>
        <w:rPr>
          <w:rFonts w:ascii="彩虹粗仿宋" w:eastAsia="彩虹粗仿宋" w:hAnsi="宋体" w:cs="Arial"/>
          <w:sz w:val="24"/>
        </w:rPr>
        <w:t>投资港股通标的股票而产生的各项合理费用、</w:t>
      </w:r>
      <w:r>
        <w:rPr>
          <w:rFonts w:ascii="彩虹粗仿宋" w:eastAsia="彩虹粗仿宋" w:hAnsi="宋体" w:cs="Arial" w:hint="eastAsia"/>
          <w:sz w:val="24"/>
        </w:rPr>
        <w:t>基金的银行汇划费用、《基金合同》生效后与</w:t>
      </w:r>
      <w:r>
        <w:rPr>
          <w:rFonts w:ascii="彩虹粗仿宋" w:eastAsia="彩虹粗仿宋" w:hAnsi="宋体" w:cs="Arial"/>
          <w:sz w:val="24"/>
        </w:rPr>
        <w:t>基金相关</w:t>
      </w:r>
      <w:r>
        <w:rPr>
          <w:rFonts w:ascii="彩虹粗仿宋" w:eastAsia="彩虹粗仿宋" w:hAnsi="宋体" w:cs="Arial" w:hint="eastAsia"/>
          <w:sz w:val="24"/>
        </w:rPr>
        <w:t>的信息披露费用（法律法规、中国证监会另有规定的除外）、基金份额持有人大会费用、《基金合同》生效后与基金有关的会计师费、律师费、公证费、</w:t>
      </w:r>
      <w:r>
        <w:rPr>
          <w:rFonts w:ascii="彩虹粗仿宋" w:eastAsia="彩虹粗仿宋" w:hAnsi="宋体" w:cs="Arial"/>
          <w:sz w:val="24"/>
        </w:rPr>
        <w:t>仲裁费和诉讼费及按照</w:t>
      </w:r>
      <w:r>
        <w:rPr>
          <w:rFonts w:ascii="彩虹粗仿宋" w:eastAsia="彩虹粗仿宋" w:hAnsi="宋体" w:cs="Arial" w:hint="eastAsia"/>
          <w:sz w:val="24"/>
        </w:rPr>
        <w:t>国家有关规定和《基金合同》约定，可以在基金财产中列支的其他费用，列入当期基金费用。</w:t>
      </w:r>
    </w:p>
    <w:p w14:paraId="04581A9F"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14:paraId="4301FEE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《基金合同》生效前的律师费、会计师费和信息披露费用等相关费用不得从基金财产中列支；基金管理人和基金托管人因未履行或未完全履行义务导致的费用支出或基金财产的损失；</w:t>
      </w:r>
      <w:r>
        <w:rPr>
          <w:rFonts w:ascii="彩虹粗仿宋" w:eastAsia="彩虹粗仿宋" w:hAnsi="宋体" w:cs="Arial"/>
          <w:bCs/>
          <w:sz w:val="24"/>
        </w:rPr>
        <w:t>基金管理人和基金托管人</w:t>
      </w:r>
      <w:r>
        <w:rPr>
          <w:rFonts w:ascii="彩虹粗仿宋" w:eastAsia="彩虹粗仿宋" w:hAnsi="宋体" w:cs="Arial" w:hint="eastAsia"/>
          <w:sz w:val="24"/>
        </w:rPr>
        <w:t>处理与基金运作无关的事项发生的费用以及其他根据相关法律法规及中国证监会的有关规定不得列入基金</w:t>
      </w:r>
      <w:r>
        <w:rPr>
          <w:rFonts w:ascii="彩虹粗仿宋" w:eastAsia="彩虹粗仿宋" w:hAnsi="宋体" w:cs="Arial" w:hint="eastAsia"/>
          <w:sz w:val="24"/>
        </w:rPr>
        <w:lastRenderedPageBreak/>
        <w:t>费用的项目等不列入基金费用。</w:t>
      </w:r>
    </w:p>
    <w:p w14:paraId="3E9DE101"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）基金管理费、基金托管费和销售服务费的复核程序、支付方式和时间</w:t>
      </w:r>
    </w:p>
    <w:p w14:paraId="49CDB67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73DD913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基金托管费和销售服务费等，根据本托管协议和《基金合同》的有关规定进行复核。</w:t>
      </w:r>
    </w:p>
    <w:p w14:paraId="1618448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3C0A5B7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C类基金份额的销售服务费每日计提，按月支付。由基金托管人根据与基金管理人核对一致的财务数据，自动在次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7462DAC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C类基金份额的销售服务费前，基金管理人应向托管人出具正式函件指定基金管理费或销售服务费的收款账户。基金管理人如需要变更此账户，应提前5个工作日向托管人出具书面的收款账户变更通知。</w:t>
      </w:r>
    </w:p>
    <w:p w14:paraId="0F71327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）违规处理方式</w:t>
      </w:r>
    </w:p>
    <w:p w14:paraId="04A984B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暂缓支付或拒绝支付，但应及时通知基金管理人。</w:t>
      </w:r>
    </w:p>
    <w:p w14:paraId="7654AAD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）实施侧袋机制期间的基金费用</w:t>
      </w:r>
    </w:p>
    <w:p w14:paraId="292A851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w:t>
      </w:r>
      <w:r>
        <w:rPr>
          <w:rFonts w:ascii="彩虹粗仿宋" w:eastAsia="彩虹粗仿宋" w:hAnsi="宋体" w:cs="Arial" w:hint="eastAsia"/>
          <w:sz w:val="24"/>
        </w:rPr>
        <w:lastRenderedPageBreak/>
        <w:t>理费，其他费用详见招募说明书或相关公告的规定。</w:t>
      </w:r>
    </w:p>
    <w:p w14:paraId="5F41C4B6" w14:textId="77777777" w:rsidR="00C74F7E" w:rsidRDefault="00C74F7E">
      <w:pPr>
        <w:adjustRightInd w:val="0"/>
        <w:snapToGrid w:val="0"/>
        <w:spacing w:line="360" w:lineRule="auto"/>
        <w:rPr>
          <w:rFonts w:ascii="彩虹粗仿宋" w:eastAsia="彩虹粗仿宋" w:hAnsi="宋体" w:cs="Arial"/>
          <w:sz w:val="24"/>
        </w:rPr>
      </w:pPr>
    </w:p>
    <w:p w14:paraId="79245AC6" w14:textId="77777777" w:rsidR="00C74F7E" w:rsidRDefault="009641F6">
      <w:pPr>
        <w:pStyle w:val="2"/>
        <w:spacing w:before="0" w:after="0" w:line="360" w:lineRule="auto"/>
        <w:jc w:val="center"/>
        <w:rPr>
          <w:rFonts w:ascii="彩虹粗仿宋" w:eastAsia="彩虹粗仿宋"/>
          <w:sz w:val="30"/>
        </w:rPr>
      </w:pPr>
      <w:bookmarkStart w:id="133" w:name="_Toc22213"/>
      <w:bookmarkStart w:id="134" w:name="_Toc30550"/>
      <w:bookmarkStart w:id="135" w:name="_Toc20115"/>
      <w:bookmarkStart w:id="136" w:name="_Toc78446134"/>
      <w:r>
        <w:rPr>
          <w:rFonts w:ascii="彩虹粗仿宋" w:eastAsia="彩虹粗仿宋" w:hint="eastAsia"/>
          <w:sz w:val="30"/>
        </w:rPr>
        <w:t>十二、基金份额持有人名册的保管</w:t>
      </w:r>
      <w:bookmarkEnd w:id="133"/>
      <w:bookmarkEnd w:id="134"/>
      <w:bookmarkEnd w:id="135"/>
      <w:bookmarkEnd w:id="136"/>
    </w:p>
    <w:p w14:paraId="02BB43E9"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6528FD5C"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在基金托管人要求或编制中期报告和年度报告前，基金管理人应将有关资料送交基金托管人，不得无故拒绝或延误提供，并保证其真实性、准确性和完整性。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基金托管人不得将所保管的基金份额持有人名册用于基金托管业务以外的其他用途，并应遵守保密义务，法律法规或监管部门另有规定的除外。</w:t>
      </w:r>
    </w:p>
    <w:p w14:paraId="708CA9B5" w14:textId="77777777" w:rsidR="00C74F7E" w:rsidRDefault="00C74F7E">
      <w:pPr>
        <w:adjustRightInd w:val="0"/>
        <w:snapToGrid w:val="0"/>
        <w:spacing w:line="360" w:lineRule="auto"/>
        <w:rPr>
          <w:rFonts w:ascii="彩虹粗仿宋" w:eastAsia="彩虹粗仿宋" w:hAnsi="宋体" w:cs="Arial"/>
          <w:sz w:val="24"/>
        </w:rPr>
      </w:pPr>
    </w:p>
    <w:p w14:paraId="5F577C30" w14:textId="77777777" w:rsidR="00C74F7E" w:rsidRDefault="009641F6">
      <w:pPr>
        <w:pStyle w:val="2"/>
        <w:spacing w:before="0" w:after="0" w:line="360" w:lineRule="auto"/>
        <w:jc w:val="center"/>
        <w:rPr>
          <w:rFonts w:ascii="彩虹粗仿宋" w:eastAsia="彩虹粗仿宋"/>
          <w:sz w:val="30"/>
        </w:rPr>
      </w:pPr>
      <w:bookmarkStart w:id="137" w:name="_Toc31226"/>
      <w:bookmarkStart w:id="138" w:name="_Toc18321"/>
      <w:bookmarkStart w:id="139" w:name="_Toc78446135"/>
      <w:bookmarkStart w:id="140" w:name="_Toc25035"/>
      <w:r>
        <w:rPr>
          <w:rFonts w:ascii="彩虹粗仿宋" w:eastAsia="彩虹粗仿宋" w:hint="eastAsia"/>
          <w:sz w:val="30"/>
        </w:rPr>
        <w:t>十三、基金有关文件档案的保存</w:t>
      </w:r>
      <w:bookmarkEnd w:id="137"/>
      <w:bookmarkEnd w:id="138"/>
      <w:bookmarkEnd w:id="139"/>
      <w:bookmarkEnd w:id="140"/>
    </w:p>
    <w:p w14:paraId="3A442BF5"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64572CC5"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sz w:val="24"/>
        </w:rPr>
        <w:t>20</w:t>
      </w:r>
      <w:r>
        <w:rPr>
          <w:rFonts w:ascii="彩虹粗仿宋" w:eastAsia="彩虹粗仿宋" w:hAnsi="宋体" w:cs="Arial" w:hint="eastAsia"/>
          <w:sz w:val="24"/>
        </w:rPr>
        <w:t>年，</w:t>
      </w:r>
      <w:r>
        <w:rPr>
          <w:rFonts w:ascii="彩虹粗仿宋" w:eastAsia="彩虹粗仿宋" w:hAnsi="宋体" w:cs="Arial"/>
          <w:sz w:val="24"/>
        </w:rPr>
        <w:t>法律法规或</w:t>
      </w:r>
      <w:r>
        <w:rPr>
          <w:rFonts w:ascii="彩虹粗仿宋" w:eastAsia="彩虹粗仿宋" w:hAnsi="宋体" w:cs="Arial" w:hint="eastAsia"/>
          <w:sz w:val="24"/>
        </w:rPr>
        <w:t>监管</w:t>
      </w:r>
      <w:r>
        <w:rPr>
          <w:rFonts w:ascii="彩虹粗仿宋" w:eastAsia="彩虹粗仿宋" w:hAnsi="宋体" w:cs="Arial"/>
          <w:sz w:val="24"/>
        </w:rPr>
        <w:t>规则另有规定的</w:t>
      </w:r>
      <w:r>
        <w:rPr>
          <w:rFonts w:ascii="彩虹粗仿宋" w:eastAsia="彩虹粗仿宋" w:hAnsi="宋体" w:cs="Arial" w:hint="eastAsia"/>
          <w:sz w:val="24"/>
        </w:rPr>
        <w:t>，</w:t>
      </w:r>
      <w:r>
        <w:rPr>
          <w:rFonts w:ascii="彩虹粗仿宋" w:eastAsia="彩虹粗仿宋" w:hAnsi="宋体" w:cs="Arial"/>
          <w:sz w:val="24"/>
        </w:rPr>
        <w:t>从其规定</w:t>
      </w:r>
      <w:r>
        <w:rPr>
          <w:rFonts w:ascii="彩虹粗仿宋" w:eastAsia="彩虹粗仿宋" w:hAnsi="宋体" w:cs="Arial" w:hint="eastAsia"/>
          <w:sz w:val="24"/>
        </w:rPr>
        <w:t>。</w:t>
      </w:r>
    </w:p>
    <w:p w14:paraId="7F5D6870"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3D7C9FF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7111128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w:t>
      </w:r>
      <w:r>
        <w:rPr>
          <w:rFonts w:ascii="彩虹粗仿宋" w:eastAsia="彩虹粗仿宋" w:hAnsi="宋体" w:cs="Arial" w:hint="eastAsia"/>
          <w:sz w:val="24"/>
        </w:rPr>
        <w:lastRenderedPageBreak/>
        <w:t>真基金托管人。</w:t>
      </w:r>
    </w:p>
    <w:p w14:paraId="36FFC7EA"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0DA528F6" w14:textId="77777777" w:rsidR="00C74F7E" w:rsidRDefault="009641F6">
      <w:pPr>
        <w:adjustRightInd w:val="0"/>
        <w:snapToGrid w:val="0"/>
        <w:spacing w:line="360" w:lineRule="auto"/>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14212DC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（四）基金管理人和基金托管人应按各自职责完整保存原始凭证、记账凭证、基金账册、交易记录和重要合同等，承担保密义务并保存至少20年，</w:t>
      </w:r>
      <w:r>
        <w:rPr>
          <w:rFonts w:ascii="彩虹粗仿宋" w:eastAsia="彩虹粗仿宋" w:hAnsi="宋体" w:cs="Arial"/>
          <w:sz w:val="24"/>
        </w:rPr>
        <w:t>法律法规或</w:t>
      </w:r>
      <w:r>
        <w:rPr>
          <w:rFonts w:ascii="彩虹粗仿宋" w:eastAsia="彩虹粗仿宋" w:hAnsi="宋体" w:cs="Arial" w:hint="eastAsia"/>
          <w:sz w:val="24"/>
        </w:rPr>
        <w:t>监管</w:t>
      </w:r>
      <w:r>
        <w:rPr>
          <w:rFonts w:ascii="彩虹粗仿宋" w:eastAsia="彩虹粗仿宋" w:hAnsi="宋体" w:cs="Arial"/>
          <w:sz w:val="24"/>
        </w:rPr>
        <w:t>规则另有规定的</w:t>
      </w:r>
      <w:r>
        <w:rPr>
          <w:rFonts w:ascii="彩虹粗仿宋" w:eastAsia="彩虹粗仿宋" w:hAnsi="宋体" w:cs="Arial" w:hint="eastAsia"/>
          <w:sz w:val="24"/>
        </w:rPr>
        <w:t>，</w:t>
      </w:r>
      <w:r>
        <w:rPr>
          <w:rFonts w:ascii="彩虹粗仿宋" w:eastAsia="彩虹粗仿宋" w:hAnsi="宋体" w:cs="Arial"/>
          <w:sz w:val="24"/>
        </w:rPr>
        <w:t>从其规定</w:t>
      </w:r>
      <w:r>
        <w:rPr>
          <w:rFonts w:ascii="彩虹粗仿宋" w:eastAsia="彩虹粗仿宋" w:hAnsi="宋体" w:cs="Arial" w:hint="eastAsia"/>
          <w:sz w:val="24"/>
        </w:rPr>
        <w:t>。</w:t>
      </w:r>
    </w:p>
    <w:p w14:paraId="57E4E40F" w14:textId="77777777" w:rsidR="00C74F7E" w:rsidRDefault="00C74F7E">
      <w:pPr>
        <w:adjustRightInd w:val="0"/>
        <w:snapToGrid w:val="0"/>
        <w:spacing w:line="360" w:lineRule="auto"/>
        <w:rPr>
          <w:rFonts w:ascii="彩虹粗仿宋" w:eastAsia="彩虹粗仿宋"/>
          <w:sz w:val="30"/>
          <w:szCs w:val="30"/>
        </w:rPr>
      </w:pPr>
    </w:p>
    <w:p w14:paraId="030DEDF7" w14:textId="77777777" w:rsidR="00C74F7E" w:rsidRDefault="009641F6">
      <w:pPr>
        <w:pStyle w:val="2"/>
        <w:spacing w:before="0" w:after="0" w:line="360" w:lineRule="auto"/>
        <w:jc w:val="center"/>
        <w:rPr>
          <w:rFonts w:ascii="彩虹粗仿宋" w:eastAsia="彩虹粗仿宋"/>
          <w:sz w:val="30"/>
        </w:rPr>
      </w:pPr>
      <w:bookmarkStart w:id="141" w:name="_Toc78446136"/>
      <w:bookmarkStart w:id="142" w:name="_Toc30324"/>
      <w:bookmarkStart w:id="143" w:name="_Toc14968"/>
      <w:bookmarkStart w:id="144" w:name="_Toc26383"/>
      <w:r>
        <w:rPr>
          <w:rFonts w:ascii="彩虹粗仿宋" w:eastAsia="彩虹粗仿宋" w:hint="eastAsia"/>
          <w:sz w:val="30"/>
        </w:rPr>
        <w:t>十四、基金管理人和基金托管人的更换</w:t>
      </w:r>
      <w:bookmarkEnd w:id="141"/>
      <w:bookmarkEnd w:id="142"/>
      <w:bookmarkEnd w:id="143"/>
      <w:bookmarkEnd w:id="144"/>
    </w:p>
    <w:p w14:paraId="486EE064"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60A336FE"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708196DF"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3685D8B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47D8512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50AF23F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6A043EF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3FF010A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77BA98D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4C879F8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0A006D2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w:t>
      </w:r>
      <w:r>
        <w:rPr>
          <w:rFonts w:ascii="彩虹粗仿宋" w:eastAsia="彩虹粗仿宋" w:hAnsi="宋体" w:cs="Arial" w:hint="eastAsia"/>
          <w:sz w:val="24"/>
        </w:rPr>
        <w:lastRenderedPageBreak/>
        <w:t>分之二以上(含三分之二)表决通过，决议自表决通过之日起生效；</w:t>
      </w:r>
    </w:p>
    <w:p w14:paraId="4D67C92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219CDD8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19EB16ED" w14:textId="1BA1A46D"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(5)公告：基金管理人更换后，由基金托管人在更换基金管理人的基金份额持有人大会决议生效后依照《信息披露办法》的有关规定在</w:t>
      </w:r>
      <w:r>
        <w:rPr>
          <w:rFonts w:ascii="彩虹粗仿宋" w:eastAsia="彩虹粗仿宋" w:hint="eastAsia"/>
          <w:sz w:val="24"/>
        </w:rPr>
        <w:t>规定</w:t>
      </w:r>
      <w:r>
        <w:rPr>
          <w:rFonts w:ascii="彩虹粗仿宋" w:eastAsia="彩虹粗仿宋" w:hAnsi="宋体" w:cs="Arial" w:hint="eastAsia"/>
          <w:sz w:val="24"/>
        </w:rPr>
        <w:t>媒介公告；</w:t>
      </w:r>
    </w:p>
    <w:p w14:paraId="6ADB533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7B1566D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w:t>
      </w:r>
      <w:r>
        <w:rPr>
          <w:rFonts w:ascii="彩虹粗仿宋" w:eastAsia="彩虹粗仿宋" w:hAnsi="宋体" w:cs="Arial"/>
          <w:sz w:val="24"/>
        </w:rPr>
        <w:t>费用在基金财产中列支；</w:t>
      </w:r>
    </w:p>
    <w:p w14:paraId="7F17F124" w14:textId="77777777" w:rsidR="00C74F7E" w:rsidRDefault="009641F6">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548AEF9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71160A8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759FEB3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30F59C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4EF2DA3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55AA440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000178E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5388B32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2.基金托管人的更换程序</w:t>
      </w:r>
    </w:p>
    <w:p w14:paraId="3E4E9D1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更换基金托管人必须依照如下程序进行：</w:t>
      </w:r>
    </w:p>
    <w:p w14:paraId="68ED579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14:paraId="74462CB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432D97A2"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471EFC2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0ABBC633" w14:textId="2C0BC43E"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(5)公告：基金托管人更换后，由基金管理人在更换基金托管人的基金份额持有人大会决议生效后依照《信息披露办法》的有关规定在</w:t>
      </w:r>
      <w:r>
        <w:rPr>
          <w:rFonts w:ascii="彩虹粗仿宋" w:eastAsia="彩虹粗仿宋" w:hint="eastAsia"/>
          <w:sz w:val="24"/>
        </w:rPr>
        <w:t>规定</w:t>
      </w:r>
      <w:r>
        <w:rPr>
          <w:rFonts w:ascii="彩虹粗仿宋" w:eastAsia="彩虹粗仿宋" w:hAnsi="宋体" w:cs="Arial" w:hint="eastAsia"/>
          <w:sz w:val="24"/>
        </w:rPr>
        <w:t>媒介公告；</w:t>
      </w:r>
    </w:p>
    <w:p w14:paraId="60AF533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w:t>
      </w:r>
    </w:p>
    <w:p w14:paraId="41174F4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sz w:val="24"/>
        </w:rPr>
        <w:t>审计费用在基金财产中列支</w:t>
      </w:r>
      <w:r>
        <w:rPr>
          <w:rFonts w:ascii="彩虹粗仿宋" w:eastAsia="彩虹粗仿宋" w:hAnsi="宋体" w:cs="Arial" w:hint="eastAsia"/>
          <w:sz w:val="24"/>
        </w:rPr>
        <w:t>。</w:t>
      </w:r>
    </w:p>
    <w:p w14:paraId="36490D6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2B94854F"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7BCAED7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2.基金管理人和基金托管人的更换分别按上述程序进行；</w:t>
      </w:r>
    </w:p>
    <w:p w14:paraId="33047F77" w14:textId="3A8BCF2F"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w:t>
      </w:r>
      <w:r>
        <w:rPr>
          <w:rFonts w:ascii="彩虹粗仿宋" w:eastAsia="彩虹粗仿宋" w:hint="eastAsia"/>
          <w:sz w:val="24"/>
        </w:rPr>
        <w:t>规定</w:t>
      </w:r>
      <w:r>
        <w:rPr>
          <w:rFonts w:ascii="彩虹粗仿宋" w:eastAsia="彩虹粗仿宋" w:hAnsi="宋体" w:cs="Arial" w:hint="eastAsia"/>
          <w:sz w:val="24"/>
        </w:rPr>
        <w:t>媒介上联合公告。</w:t>
      </w:r>
    </w:p>
    <w:p w14:paraId="4E9AC9A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2337DCB3"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11A7341" w14:textId="77777777" w:rsidR="00C74F7E" w:rsidRDefault="00C74F7E">
      <w:pPr>
        <w:adjustRightInd w:val="0"/>
        <w:snapToGrid w:val="0"/>
        <w:spacing w:line="360" w:lineRule="auto"/>
        <w:ind w:firstLineChars="200" w:firstLine="480"/>
        <w:rPr>
          <w:rFonts w:ascii="彩虹粗仿宋" w:eastAsia="彩虹粗仿宋" w:hAnsi="宋体" w:cs="Arial"/>
          <w:sz w:val="24"/>
        </w:rPr>
      </w:pPr>
    </w:p>
    <w:p w14:paraId="5EC44F3E" w14:textId="77777777" w:rsidR="00C74F7E" w:rsidRDefault="00C74F7E">
      <w:pPr>
        <w:adjustRightInd w:val="0"/>
        <w:snapToGrid w:val="0"/>
        <w:spacing w:line="360" w:lineRule="auto"/>
        <w:rPr>
          <w:rFonts w:ascii="彩虹粗仿宋" w:eastAsia="彩虹粗仿宋" w:hAnsi="宋体" w:cs="Arial"/>
          <w:sz w:val="24"/>
        </w:rPr>
      </w:pPr>
    </w:p>
    <w:p w14:paraId="2C20D411" w14:textId="77777777" w:rsidR="00C74F7E" w:rsidRDefault="009641F6">
      <w:pPr>
        <w:pStyle w:val="2"/>
        <w:spacing w:before="0" w:after="0" w:line="360" w:lineRule="auto"/>
        <w:jc w:val="center"/>
        <w:rPr>
          <w:rFonts w:ascii="彩虹粗仿宋" w:eastAsia="彩虹粗仿宋"/>
          <w:sz w:val="30"/>
        </w:rPr>
      </w:pPr>
      <w:bookmarkStart w:id="145" w:name="_Toc9489"/>
      <w:bookmarkStart w:id="146" w:name="_Toc78446137"/>
      <w:bookmarkStart w:id="147" w:name="_Toc5585"/>
      <w:bookmarkStart w:id="148" w:name="_Toc24546"/>
      <w:r>
        <w:rPr>
          <w:rFonts w:ascii="彩虹粗仿宋" w:eastAsia="彩虹粗仿宋" w:hint="eastAsia"/>
          <w:sz w:val="30"/>
        </w:rPr>
        <w:t>十五、禁止行为</w:t>
      </w:r>
      <w:bookmarkEnd w:id="145"/>
      <w:bookmarkEnd w:id="146"/>
      <w:bookmarkEnd w:id="147"/>
      <w:bookmarkEnd w:id="148"/>
    </w:p>
    <w:p w14:paraId="02746227"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45E61AB4" w14:textId="77777777" w:rsidR="00C74F7E" w:rsidRDefault="009641F6" w:rsidP="0075099A">
      <w:pPr>
        <w:spacing w:line="360" w:lineRule="auto"/>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14:paraId="279B4F80" w14:textId="77777777" w:rsidR="00C74F7E" w:rsidRDefault="009641F6" w:rsidP="0075099A">
      <w:pPr>
        <w:spacing w:line="360" w:lineRule="auto"/>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14:paraId="0C459F65" w14:textId="77777777" w:rsidR="00C74F7E" w:rsidRDefault="009641F6">
      <w:pPr>
        <w:spacing w:line="360" w:lineRule="auto"/>
        <w:ind w:firstLineChars="200" w:firstLine="480"/>
        <w:rPr>
          <w:rFonts w:ascii="彩虹粗仿宋" w:eastAsia="彩虹粗仿宋"/>
          <w:sz w:val="24"/>
        </w:rPr>
      </w:pPr>
      <w:r>
        <w:rPr>
          <w:rFonts w:ascii="彩虹粗仿宋" w:eastAsia="彩虹粗仿宋" w:hint="eastAsia"/>
          <w:sz w:val="24"/>
        </w:rPr>
        <w:t>（三）基金管理人、基金托管人利用基金财产或职务之便为基金份额持有人</w:t>
      </w:r>
      <w:r>
        <w:rPr>
          <w:rFonts w:ascii="彩虹粗仿宋" w:eastAsia="彩虹粗仿宋" w:hint="eastAsia"/>
          <w:sz w:val="24"/>
        </w:rPr>
        <w:lastRenderedPageBreak/>
        <w:t>以外的第三人牟取利益。</w:t>
      </w:r>
    </w:p>
    <w:p w14:paraId="66009A84" w14:textId="77777777" w:rsidR="00C74F7E" w:rsidRDefault="009641F6">
      <w:pPr>
        <w:spacing w:line="360" w:lineRule="auto"/>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14:paraId="403495F7"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14:paraId="3C6A00AB" w14:textId="77777777" w:rsidR="00C74F7E" w:rsidRDefault="009641F6">
      <w:pPr>
        <w:pStyle w:val="a5"/>
        <w:spacing w:line="36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49A87517"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（七）基金管理人、基金托管人在行政上、财务上不相互独立，其董事、监事、高级管理人员和其他从业人员相互兼职。</w:t>
      </w:r>
    </w:p>
    <w:p w14:paraId="5EA0CC72" w14:textId="77777777" w:rsidR="00C74F7E" w:rsidRDefault="009641F6">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59D00A21" w14:textId="77777777" w:rsidR="00C74F7E" w:rsidRDefault="009641F6">
      <w:pPr>
        <w:spacing w:line="360" w:lineRule="auto"/>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w:t>
      </w:r>
      <w:r>
        <w:rPr>
          <w:rFonts w:ascii="彩虹粗仿宋" w:eastAsia="彩虹粗仿宋"/>
          <w:sz w:val="24"/>
        </w:rPr>
        <w:t>4</w:t>
      </w:r>
      <w:r>
        <w:rPr>
          <w:rFonts w:ascii="彩虹粗仿宋" w:eastAsia="彩虹粗仿宋" w:hint="eastAsia"/>
          <w:sz w:val="24"/>
        </w:rPr>
        <w:t>.买卖其他基金份额，但是法律法规或中国证监会另有规定的除外；5</w:t>
      </w:r>
      <w:r>
        <w:rPr>
          <w:rFonts w:ascii="彩虹粗仿宋" w:eastAsia="彩虹粗仿宋"/>
          <w:sz w:val="24"/>
        </w:rPr>
        <w:t>.</w:t>
      </w:r>
      <w:r>
        <w:rPr>
          <w:rFonts w:ascii="彩虹粗仿宋" w:eastAsia="彩虹粗仿宋" w:hint="eastAsia"/>
          <w:sz w:val="24"/>
        </w:rPr>
        <w:t>向其基金管理人、基金托管人出资；</w:t>
      </w:r>
      <w:r>
        <w:rPr>
          <w:rFonts w:ascii="彩虹粗仿宋" w:eastAsia="彩虹粗仿宋"/>
          <w:sz w:val="24"/>
        </w:rPr>
        <w:t>6</w:t>
      </w:r>
      <w:r>
        <w:rPr>
          <w:rFonts w:ascii="彩虹粗仿宋" w:eastAsia="彩虹粗仿宋" w:hint="eastAsia"/>
          <w:sz w:val="24"/>
        </w:rPr>
        <w:t>.从事内幕交易、操纵证券交易价格及其他不正当的证券交易活动；</w:t>
      </w:r>
      <w:r>
        <w:rPr>
          <w:rFonts w:ascii="彩虹粗仿宋" w:eastAsia="彩虹粗仿宋"/>
          <w:sz w:val="24"/>
        </w:rPr>
        <w:t>7</w:t>
      </w:r>
      <w:r>
        <w:rPr>
          <w:rFonts w:ascii="彩虹粗仿宋" w:eastAsia="彩虹粗仿宋" w:hint="eastAsia"/>
          <w:sz w:val="24"/>
        </w:rPr>
        <w:t>.法律、行政法规和中国证监会规定禁止的其他活动。如</w:t>
      </w:r>
      <w:r>
        <w:rPr>
          <w:rFonts w:ascii="彩虹粗仿宋" w:eastAsia="彩虹粗仿宋" w:cs="Arial" w:hint="eastAsia"/>
          <w:sz w:val="24"/>
        </w:rPr>
        <w:t>法律法规或监管部门取消或变更上述限制，如适用于本基金，基金管理人在履行适当程序后，则本基金投资不再受相关限制或按变更后的规定执行</w:t>
      </w:r>
      <w:r>
        <w:rPr>
          <w:rFonts w:ascii="彩虹粗仿宋" w:eastAsia="彩虹粗仿宋" w:hint="eastAsia"/>
          <w:sz w:val="24"/>
        </w:rPr>
        <w:t>。</w:t>
      </w:r>
    </w:p>
    <w:p w14:paraId="1D21703A"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14:paraId="26DB2B8D" w14:textId="77777777" w:rsidR="00C74F7E" w:rsidRDefault="00C74F7E">
      <w:pPr>
        <w:adjustRightInd w:val="0"/>
        <w:snapToGrid w:val="0"/>
        <w:spacing w:line="360" w:lineRule="auto"/>
        <w:rPr>
          <w:rFonts w:ascii="彩虹粗仿宋" w:eastAsia="彩虹粗仿宋"/>
          <w:sz w:val="30"/>
          <w:szCs w:val="30"/>
        </w:rPr>
      </w:pPr>
    </w:p>
    <w:p w14:paraId="412288D4" w14:textId="77777777" w:rsidR="00C74F7E" w:rsidRDefault="009641F6">
      <w:pPr>
        <w:pStyle w:val="2"/>
        <w:spacing w:before="0" w:after="0" w:line="360" w:lineRule="auto"/>
        <w:jc w:val="center"/>
        <w:rPr>
          <w:rFonts w:ascii="彩虹粗仿宋" w:eastAsia="彩虹粗仿宋"/>
          <w:sz w:val="30"/>
        </w:rPr>
      </w:pPr>
      <w:bookmarkStart w:id="149" w:name="_Toc19305"/>
      <w:bookmarkStart w:id="150" w:name="_Toc21342"/>
      <w:bookmarkStart w:id="151" w:name="_Toc78446138"/>
      <w:bookmarkStart w:id="152" w:name="_Toc8650"/>
      <w:r>
        <w:rPr>
          <w:rFonts w:ascii="彩虹粗仿宋" w:eastAsia="彩虹粗仿宋" w:hint="eastAsia"/>
          <w:sz w:val="30"/>
        </w:rPr>
        <w:lastRenderedPageBreak/>
        <w:t>十六、托管协议的变更、终止与基金财产的清算</w:t>
      </w:r>
      <w:bookmarkEnd w:id="149"/>
      <w:bookmarkEnd w:id="150"/>
      <w:bookmarkEnd w:id="151"/>
      <w:bookmarkEnd w:id="152"/>
    </w:p>
    <w:p w14:paraId="64E8073A"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bookmarkStart w:id="153" w:name="_GoBack"/>
      <w:r>
        <w:rPr>
          <w:rFonts w:ascii="彩虹粗仿宋" w:eastAsia="彩虹粗仿宋" w:hAnsi="宋体" w:cs="Arial" w:hint="eastAsia"/>
          <w:sz w:val="24"/>
        </w:rPr>
        <w:t>（一）托管协议的变更程序</w:t>
      </w:r>
    </w:p>
    <w:p w14:paraId="346A3096" w14:textId="20981944" w:rsidR="00C74F7E" w:rsidRDefault="009641F6" w:rsidP="0075099A">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68D6AF46"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0F0F06E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4E88395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5B0C704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073C6469"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32E4B2F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0AB35926"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1.基金财产清算小组：自出现《基金合同》终止事由之日起30个工作日内成立基金财产清算小组，基金管理人组织基金财产清算小组并在中国证监会的监督下进行基金财产清算。</w:t>
      </w:r>
    </w:p>
    <w:p w14:paraId="1D6FB3FD" w14:textId="060DFB5B"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w:t>
      </w:r>
      <w:bookmarkStart w:id="154" w:name="OLE_LINK9"/>
      <w:r>
        <w:rPr>
          <w:rFonts w:ascii="彩虹粗仿宋" w:eastAsia="彩虹粗仿宋" w:hAnsi="宋体" w:cs="Arial" w:hint="eastAsia"/>
          <w:sz w:val="24"/>
        </w:rPr>
        <w:t>基金财产清算小组成员由基金管理人、基金托管人、具有从事证券相关业务资格的注册会计师</w:t>
      </w:r>
      <w:bookmarkEnd w:id="154"/>
      <w:r>
        <w:rPr>
          <w:rFonts w:ascii="彩虹粗仿宋" w:eastAsia="彩虹粗仿宋" w:hAnsi="宋体" w:cs="Arial" w:hint="eastAsia"/>
          <w:sz w:val="24"/>
        </w:rPr>
        <w:t>、律师以及中国证监会指定的人员组成。基金财产清算小组可以聘用必要的工作人员。</w:t>
      </w:r>
    </w:p>
    <w:p w14:paraId="6158B8B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3B2389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0731CDF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Pr>
          <w:bCs/>
          <w:sz w:val="24"/>
          <w:szCs w:val="20"/>
        </w:rPr>
        <w:t xml:space="preserve"> </w:t>
      </w:r>
      <w:r>
        <w:rPr>
          <w:rFonts w:ascii="彩虹粗仿宋" w:eastAsia="彩虹粗仿宋" w:hAnsi="宋体" w:cs="Arial"/>
          <w:bCs/>
          <w:sz w:val="24"/>
        </w:rPr>
        <w:t>基金财产清算小组成立后</w:t>
      </w:r>
      <w:r>
        <w:rPr>
          <w:rFonts w:ascii="彩虹粗仿宋" w:eastAsia="彩虹粗仿宋" w:hAnsi="宋体" w:cs="Arial" w:hint="eastAsia"/>
          <w:sz w:val="24"/>
        </w:rPr>
        <w:t>，由基金财产清算小组统一接管基金财产；</w:t>
      </w:r>
    </w:p>
    <w:p w14:paraId="1CB7B07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4DFA558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17AFAC4E"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(4)制作清算报告；</w:t>
      </w:r>
    </w:p>
    <w:p w14:paraId="4971EFC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330844B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5F3FF1E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332FD5DA"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w:t>
      </w:r>
      <w:r>
        <w:rPr>
          <w:rFonts w:ascii="彩虹粗仿宋" w:eastAsia="彩虹粗仿宋" w:hAnsi="宋体" w:cs="Arial"/>
          <w:sz w:val="24"/>
        </w:rPr>
        <w:t>6</w:t>
      </w:r>
      <w:r>
        <w:rPr>
          <w:rFonts w:ascii="彩虹粗仿宋" w:eastAsia="彩虹粗仿宋" w:hAnsi="宋体" w:cs="Arial" w:hint="eastAsia"/>
          <w:sz w:val="24"/>
        </w:rPr>
        <w:t>个月，但因本基金所持证券的流动性受到限制而不能及时变现的，清算期限相应顺延。</w:t>
      </w:r>
    </w:p>
    <w:p w14:paraId="4D2BE91B"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289A93A4"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4D1EC47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30639A17"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781B392C"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476D3E80"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彩虹粗仿宋" w:eastAsia="彩虹粗仿宋" w:hAnsi="宋体" w:cs="Arial"/>
          <w:sz w:val="24"/>
        </w:rPr>
        <w:t>5</w:t>
      </w:r>
      <w:r>
        <w:rPr>
          <w:rFonts w:ascii="彩虹粗仿宋" w:eastAsia="彩虹粗仿宋" w:hAnsi="宋体" w:cs="Arial" w:hint="eastAsia"/>
          <w:sz w:val="24"/>
        </w:rPr>
        <w:t>个工作日内由基金财产清算小组进行公告，基金财产清算小组应当将清算报告登载在规定网站上，并将清算报告提示性公告登载在规定报刊上。</w:t>
      </w:r>
    </w:p>
    <w:p w14:paraId="45039588"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358C64DD"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基金财产清算账册及有关文件由基金托管人保存20年以上，法律法规另有</w:t>
      </w:r>
      <w:r>
        <w:rPr>
          <w:rFonts w:ascii="彩虹粗仿宋" w:eastAsia="彩虹粗仿宋" w:hAnsi="宋体" w:cs="Arial" w:hint="eastAsia"/>
          <w:sz w:val="24"/>
        </w:rPr>
        <w:lastRenderedPageBreak/>
        <w:t>规定的从其规定。</w:t>
      </w:r>
      <w:bookmarkEnd w:id="153"/>
    </w:p>
    <w:p w14:paraId="66063FAF" w14:textId="77777777" w:rsidR="00C74F7E" w:rsidRDefault="00C74F7E">
      <w:pPr>
        <w:adjustRightInd w:val="0"/>
        <w:snapToGrid w:val="0"/>
        <w:spacing w:line="360" w:lineRule="auto"/>
        <w:rPr>
          <w:rFonts w:ascii="彩虹粗仿宋" w:eastAsia="彩虹粗仿宋" w:hAnsi="宋体" w:cs="Arial"/>
          <w:sz w:val="24"/>
        </w:rPr>
      </w:pPr>
    </w:p>
    <w:p w14:paraId="18C60EC5" w14:textId="77777777" w:rsidR="00C74F7E" w:rsidRDefault="009641F6">
      <w:pPr>
        <w:pStyle w:val="2"/>
        <w:spacing w:before="0" w:after="0" w:line="360" w:lineRule="auto"/>
        <w:jc w:val="center"/>
        <w:rPr>
          <w:rFonts w:ascii="彩虹粗仿宋" w:eastAsia="彩虹粗仿宋"/>
          <w:sz w:val="30"/>
        </w:rPr>
      </w:pPr>
      <w:bookmarkStart w:id="155" w:name="_Toc1088"/>
      <w:bookmarkStart w:id="156" w:name="_Toc8899"/>
      <w:bookmarkStart w:id="157" w:name="_Toc78446139"/>
      <w:bookmarkStart w:id="158" w:name="_Toc27834"/>
      <w:r>
        <w:rPr>
          <w:rFonts w:ascii="彩虹粗仿宋" w:eastAsia="彩虹粗仿宋" w:hint="eastAsia"/>
          <w:sz w:val="30"/>
        </w:rPr>
        <w:t>十七、违约责任</w:t>
      </w:r>
      <w:bookmarkEnd w:id="155"/>
      <w:bookmarkEnd w:id="156"/>
      <w:bookmarkEnd w:id="157"/>
      <w:bookmarkEnd w:id="158"/>
    </w:p>
    <w:p w14:paraId="01314827"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5AA9B691"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的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BCDAD92" w14:textId="77777777" w:rsidR="00C74F7E" w:rsidRDefault="009641F6" w:rsidP="007509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C8897A0"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7F2DA9F1" w14:textId="1EC446E6"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2.基金管理人和/或基金托管人按照当时有效的法律法规或中国证监会的规定作为或不作为而造成的损失等；</w:t>
      </w:r>
    </w:p>
    <w:p w14:paraId="1CAED188" w14:textId="090FCB27" w:rsidR="00A63E1C"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3.在没有过错的情况下，基金管理人由于按照《基金合同》约定的投资原则投资或不投资造成的</w:t>
      </w:r>
      <w:r w:rsidR="00A151C6">
        <w:rPr>
          <w:rFonts w:ascii="彩虹粗仿宋" w:eastAsia="彩虹粗仿宋" w:hAnsi="宋体" w:cs="Arial" w:hint="eastAsia"/>
          <w:sz w:val="24"/>
        </w:rPr>
        <w:t>直接</w:t>
      </w:r>
      <w:r>
        <w:rPr>
          <w:rFonts w:ascii="彩虹粗仿宋" w:eastAsia="彩虹粗仿宋" w:hAnsi="宋体" w:cs="Arial" w:hint="eastAsia"/>
          <w:sz w:val="24"/>
        </w:rPr>
        <w:t>损失等</w:t>
      </w:r>
      <w:r w:rsidR="00A63E1C">
        <w:rPr>
          <w:rFonts w:ascii="彩虹粗仿宋" w:eastAsia="彩虹粗仿宋" w:hAnsi="宋体" w:cs="Arial" w:hint="eastAsia"/>
          <w:sz w:val="24"/>
        </w:rPr>
        <w:t>；</w:t>
      </w:r>
    </w:p>
    <w:p w14:paraId="1895E6DB" w14:textId="49C63115" w:rsidR="00A151C6" w:rsidRDefault="00A151C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6BBA9135"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w:t>
      </w:r>
      <w:r>
        <w:rPr>
          <w:rFonts w:ascii="彩虹粗仿宋" w:eastAsia="彩虹粗仿宋" w:hAnsi="宋体" w:cs="Arial" w:hint="eastAsia"/>
          <w:sz w:val="24"/>
        </w:rPr>
        <w:lastRenderedPageBreak/>
        <w:t>措施，尽力防止损失的扩大。没有采取适当措施致使损失进一步扩大的，不得就扩大的损失要求赔偿。非违约方因防止损失扩大而支出的合理费用由违约方承担。</w:t>
      </w:r>
    </w:p>
    <w:p w14:paraId="6F6180B5"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A9393AC" w14:textId="77777777" w:rsidR="00C74F7E" w:rsidRDefault="009641F6">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14:paraId="5A94E0F5" w14:textId="77777777" w:rsidR="00C74F7E" w:rsidRDefault="00C74F7E">
      <w:pPr>
        <w:adjustRightInd w:val="0"/>
        <w:snapToGrid w:val="0"/>
        <w:spacing w:line="360" w:lineRule="auto"/>
        <w:ind w:firstLineChars="200" w:firstLine="480"/>
        <w:rPr>
          <w:rFonts w:ascii="彩虹粗仿宋" w:eastAsia="彩虹粗仿宋" w:hAnsi="宋体" w:cs="Arial"/>
          <w:sz w:val="24"/>
        </w:rPr>
      </w:pPr>
    </w:p>
    <w:p w14:paraId="1C870F0B" w14:textId="77777777" w:rsidR="00C74F7E" w:rsidRDefault="009641F6">
      <w:pPr>
        <w:pStyle w:val="2"/>
        <w:spacing w:before="0" w:after="0" w:line="360" w:lineRule="auto"/>
        <w:jc w:val="center"/>
        <w:rPr>
          <w:rFonts w:ascii="彩虹粗仿宋" w:eastAsia="彩虹粗仿宋"/>
          <w:sz w:val="30"/>
        </w:rPr>
      </w:pPr>
      <w:bookmarkStart w:id="159" w:name="_Toc31693"/>
      <w:bookmarkStart w:id="160" w:name="_Toc29784"/>
      <w:bookmarkStart w:id="161" w:name="_Toc12065"/>
      <w:bookmarkStart w:id="162" w:name="_Toc78446140"/>
      <w:r>
        <w:rPr>
          <w:rFonts w:ascii="彩虹粗仿宋" w:eastAsia="彩虹粗仿宋" w:hint="eastAsia"/>
          <w:sz w:val="30"/>
        </w:rPr>
        <w:t>十八、争议解决方式</w:t>
      </w:r>
      <w:bookmarkEnd w:id="159"/>
      <w:bookmarkEnd w:id="160"/>
      <w:bookmarkEnd w:id="161"/>
      <w:bookmarkEnd w:id="162"/>
    </w:p>
    <w:p w14:paraId="0458CC07" w14:textId="5355BE15"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14:paraId="5D97D067"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422F189"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本协议受中国法律（为本协议之目的，不含港澳台地区法律）管辖并从其解释。</w:t>
      </w:r>
    </w:p>
    <w:p w14:paraId="6B98E0BF" w14:textId="77777777" w:rsidR="00C74F7E" w:rsidRDefault="00C74F7E">
      <w:pPr>
        <w:adjustRightInd w:val="0"/>
        <w:snapToGrid w:val="0"/>
        <w:spacing w:line="360" w:lineRule="auto"/>
        <w:rPr>
          <w:rFonts w:ascii="彩虹粗仿宋" w:eastAsia="彩虹粗仿宋" w:hAnsi="宋体" w:cs="Arial"/>
          <w:sz w:val="24"/>
        </w:rPr>
      </w:pPr>
    </w:p>
    <w:p w14:paraId="62F2E044" w14:textId="77777777" w:rsidR="00C74F7E" w:rsidRDefault="009641F6">
      <w:pPr>
        <w:pStyle w:val="2"/>
        <w:spacing w:before="0" w:after="0" w:line="360" w:lineRule="auto"/>
        <w:jc w:val="center"/>
        <w:rPr>
          <w:rFonts w:ascii="彩虹粗仿宋" w:eastAsia="彩虹粗仿宋"/>
          <w:sz w:val="30"/>
        </w:rPr>
      </w:pPr>
      <w:bookmarkStart w:id="163" w:name="_Toc5197"/>
      <w:bookmarkStart w:id="164" w:name="_Toc2444"/>
      <w:bookmarkStart w:id="165" w:name="_Toc78446141"/>
      <w:bookmarkStart w:id="166" w:name="_Toc5949"/>
      <w:r>
        <w:rPr>
          <w:rFonts w:ascii="彩虹粗仿宋" w:eastAsia="彩虹粗仿宋" w:hint="eastAsia"/>
          <w:sz w:val="30"/>
        </w:rPr>
        <w:lastRenderedPageBreak/>
        <w:t>十九、托管协议的效力</w:t>
      </w:r>
      <w:bookmarkEnd w:id="163"/>
      <w:bookmarkEnd w:id="164"/>
      <w:bookmarkEnd w:id="165"/>
      <w:bookmarkEnd w:id="166"/>
    </w:p>
    <w:p w14:paraId="1A928BAA"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0304AF03"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65BAA6AF"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49961F1" w14:textId="77777777" w:rsidR="00C74F7E" w:rsidRDefault="009641F6">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4B4F2747" w14:textId="0BE4EBB5" w:rsidR="00C74F7E" w:rsidRDefault="009641F6">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（四）本协议一式</w:t>
      </w:r>
      <w:r w:rsidR="007A529C">
        <w:rPr>
          <w:rFonts w:ascii="彩虹粗仿宋" w:eastAsia="彩虹粗仿宋" w:hAnsi="宋体" w:cs="Arial" w:hint="eastAsia"/>
          <w:sz w:val="24"/>
        </w:rPr>
        <w:t>叁</w:t>
      </w:r>
      <w:r>
        <w:rPr>
          <w:rFonts w:ascii="彩虹粗仿宋" w:eastAsia="彩虹粗仿宋" w:hAnsi="宋体" w:cs="Arial" w:hint="eastAsia"/>
          <w:sz w:val="24"/>
        </w:rPr>
        <w:t>份，协议双方各持</w:t>
      </w:r>
      <w:r w:rsidR="007A529C">
        <w:rPr>
          <w:rFonts w:ascii="彩虹粗仿宋" w:eastAsia="彩虹粗仿宋" w:hAnsi="宋体" w:cs="Arial" w:hint="eastAsia"/>
          <w:sz w:val="24"/>
        </w:rPr>
        <w:t>壹</w:t>
      </w:r>
      <w:r>
        <w:rPr>
          <w:rFonts w:ascii="彩虹粗仿宋" w:eastAsia="彩虹粗仿宋" w:hAnsi="宋体" w:cs="Arial" w:hint="eastAsia"/>
          <w:sz w:val="24"/>
        </w:rPr>
        <w:t>份，上报监管机构</w:t>
      </w:r>
      <w:r w:rsidR="007A529C">
        <w:rPr>
          <w:rFonts w:ascii="彩虹粗仿宋" w:eastAsia="彩虹粗仿宋" w:hAnsi="宋体" w:cs="Arial" w:hint="eastAsia"/>
          <w:sz w:val="24"/>
        </w:rPr>
        <w:t>壹</w:t>
      </w:r>
      <w:r>
        <w:rPr>
          <w:rFonts w:ascii="彩虹粗仿宋" w:eastAsia="彩虹粗仿宋" w:hAnsi="宋体" w:cs="Arial" w:hint="eastAsia"/>
          <w:sz w:val="24"/>
        </w:rPr>
        <w:t>份，每份具有同等的法律效力。</w:t>
      </w:r>
    </w:p>
    <w:p w14:paraId="36A2A8A2" w14:textId="77777777" w:rsidR="00C74F7E" w:rsidRDefault="00C74F7E">
      <w:pPr>
        <w:adjustRightInd w:val="0"/>
        <w:snapToGrid w:val="0"/>
        <w:spacing w:line="360" w:lineRule="auto"/>
        <w:rPr>
          <w:rFonts w:ascii="彩虹粗仿宋" w:eastAsia="彩虹粗仿宋" w:hAnsi="宋体" w:cs="Arial"/>
          <w:sz w:val="24"/>
        </w:rPr>
      </w:pPr>
    </w:p>
    <w:p w14:paraId="192C2087" w14:textId="77777777" w:rsidR="00C74F7E" w:rsidRDefault="009641F6">
      <w:pPr>
        <w:pStyle w:val="2"/>
        <w:spacing w:before="0" w:after="0" w:line="360" w:lineRule="auto"/>
        <w:jc w:val="center"/>
        <w:rPr>
          <w:rFonts w:ascii="彩虹粗仿宋" w:eastAsia="彩虹粗仿宋"/>
          <w:sz w:val="30"/>
        </w:rPr>
      </w:pPr>
      <w:bookmarkStart w:id="167" w:name="_Toc78446142"/>
      <w:bookmarkStart w:id="168" w:name="_Toc10715"/>
      <w:bookmarkStart w:id="169" w:name="_Toc32708"/>
      <w:bookmarkStart w:id="170" w:name="_Toc2586"/>
      <w:r>
        <w:rPr>
          <w:rFonts w:ascii="彩虹粗仿宋" w:eastAsia="彩虹粗仿宋" w:hint="eastAsia"/>
          <w:sz w:val="30"/>
        </w:rPr>
        <w:t>二十、其他事项</w:t>
      </w:r>
      <w:bookmarkEnd w:id="167"/>
      <w:bookmarkEnd w:id="168"/>
      <w:bookmarkEnd w:id="169"/>
      <w:bookmarkEnd w:id="170"/>
    </w:p>
    <w:p w14:paraId="4CE88E12"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109F16C4" w14:textId="77777777" w:rsidR="00C74F7E" w:rsidRDefault="009641F6" w:rsidP="007509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23928F5" w14:textId="77777777" w:rsidR="00C74F7E" w:rsidRDefault="00C74F7E">
      <w:pPr>
        <w:adjustRightInd w:val="0"/>
        <w:snapToGrid w:val="0"/>
        <w:spacing w:line="360" w:lineRule="auto"/>
        <w:rPr>
          <w:rFonts w:ascii="彩虹粗仿宋" w:eastAsia="彩虹粗仿宋"/>
          <w:b/>
          <w:bCs/>
        </w:rPr>
      </w:pPr>
    </w:p>
    <w:p w14:paraId="25E50AFC" w14:textId="77777777" w:rsidR="00C74F7E" w:rsidRDefault="009641F6">
      <w:pPr>
        <w:pStyle w:val="2"/>
        <w:spacing w:before="0" w:after="0" w:line="360" w:lineRule="auto"/>
        <w:jc w:val="center"/>
        <w:rPr>
          <w:rFonts w:ascii="彩虹粗仿宋" w:eastAsia="彩虹粗仿宋"/>
          <w:sz w:val="30"/>
        </w:rPr>
      </w:pPr>
      <w:bookmarkStart w:id="171" w:name="_Toc15103"/>
      <w:bookmarkStart w:id="172" w:name="_Toc78446143"/>
      <w:bookmarkStart w:id="173" w:name="_Toc32526"/>
      <w:bookmarkStart w:id="174" w:name="_Toc16798"/>
      <w:r>
        <w:rPr>
          <w:rFonts w:ascii="彩虹粗仿宋" w:eastAsia="彩虹粗仿宋" w:hint="eastAsia"/>
          <w:sz w:val="30"/>
        </w:rPr>
        <w:t>二十一、托管协议的签订</w:t>
      </w:r>
      <w:bookmarkEnd w:id="171"/>
      <w:bookmarkEnd w:id="172"/>
      <w:bookmarkEnd w:id="173"/>
      <w:bookmarkEnd w:id="174"/>
    </w:p>
    <w:p w14:paraId="5EE32010" w14:textId="2FC7992B" w:rsidR="00B147E2" w:rsidRDefault="009641F6">
      <w:pPr>
        <w:widowControl/>
        <w:jc w:val="left"/>
      </w:pPr>
      <w:r>
        <w:rPr>
          <w:rFonts w:ascii="彩虹粗仿宋" w:eastAsia="彩虹粗仿宋" w:hAnsi="宋体" w:cs="Arial" w:hint="eastAsia"/>
          <w:sz w:val="24"/>
        </w:rPr>
        <w:t>本协议双方法定代表人或授权代表签字（或盖章）、签订地、签订日</w:t>
      </w:r>
      <w:r>
        <w:rPr>
          <w:rFonts w:hint="eastAsia"/>
        </w:rPr>
        <w:t>。</w:t>
      </w:r>
    </w:p>
    <w:p w14:paraId="174BC437" w14:textId="77777777" w:rsidR="00B147E2" w:rsidRDefault="00B147E2">
      <w:pPr>
        <w:widowControl/>
        <w:jc w:val="left"/>
      </w:pPr>
      <w:r>
        <w:br w:type="page"/>
      </w:r>
    </w:p>
    <w:p w14:paraId="22D06536" w14:textId="77777777" w:rsidR="00C74F7E" w:rsidRPr="00B147E2" w:rsidRDefault="00C74F7E">
      <w:pPr>
        <w:widowControl/>
        <w:jc w:val="left"/>
      </w:pPr>
    </w:p>
    <w:bookmarkEnd w:id="0"/>
    <w:p w14:paraId="042F1338" w14:textId="01B71D3D" w:rsidR="00B147E2" w:rsidRPr="00B147E2" w:rsidRDefault="00B147E2" w:rsidP="00B147E2">
      <w:pPr>
        <w:pStyle w:val="10"/>
        <w:spacing w:line="360" w:lineRule="auto"/>
        <w:ind w:right="26" w:firstLine="480"/>
        <w:rPr>
          <w:rFonts w:ascii="彩虹粗仿宋" w:eastAsia="彩虹粗仿宋" w:hAnsi="宋体"/>
          <w:kern w:val="2"/>
          <w:sz w:val="24"/>
          <w:szCs w:val="24"/>
        </w:rPr>
      </w:pPr>
      <w:r w:rsidRPr="00B147E2">
        <w:rPr>
          <w:rFonts w:ascii="彩虹粗仿宋" w:eastAsia="彩虹粗仿宋" w:hAnsi="宋体"/>
          <w:kern w:val="2"/>
          <w:sz w:val="24"/>
          <w:szCs w:val="24"/>
        </w:rPr>
        <w:t>本页无正文，为《信澳鑫丰债券型证券投资基金</w:t>
      </w:r>
      <w:r>
        <w:rPr>
          <w:rFonts w:ascii="彩虹粗仿宋" w:eastAsia="彩虹粗仿宋" w:hAnsi="宋体" w:hint="eastAsia"/>
          <w:kern w:val="2"/>
          <w:sz w:val="24"/>
          <w:szCs w:val="24"/>
        </w:rPr>
        <w:t>托管</w:t>
      </w:r>
      <w:r>
        <w:rPr>
          <w:rFonts w:ascii="彩虹粗仿宋" w:eastAsia="彩虹粗仿宋" w:hAnsi="宋体"/>
          <w:kern w:val="2"/>
          <w:sz w:val="24"/>
          <w:szCs w:val="24"/>
        </w:rPr>
        <w:t>协议</w:t>
      </w:r>
      <w:r w:rsidRPr="00B147E2">
        <w:rPr>
          <w:rFonts w:ascii="彩虹粗仿宋" w:eastAsia="彩虹粗仿宋" w:hAnsi="宋体"/>
          <w:kern w:val="2"/>
          <w:sz w:val="24"/>
          <w:szCs w:val="24"/>
        </w:rPr>
        <w:t>》的签字盖章页。</w:t>
      </w:r>
    </w:p>
    <w:p w14:paraId="4BE8DCB1" w14:textId="77777777" w:rsidR="00B147E2" w:rsidRPr="00B147E2" w:rsidRDefault="00B147E2" w:rsidP="00B147E2">
      <w:pPr>
        <w:pStyle w:val="10"/>
        <w:spacing w:line="360" w:lineRule="auto"/>
        <w:rPr>
          <w:rFonts w:ascii="彩虹粗仿宋" w:eastAsia="彩虹粗仿宋" w:hAnsi="宋体"/>
          <w:kern w:val="2"/>
          <w:sz w:val="24"/>
          <w:szCs w:val="24"/>
        </w:rPr>
      </w:pPr>
    </w:p>
    <w:p w14:paraId="3F674B77" w14:textId="77777777" w:rsidR="00B147E2" w:rsidRPr="00B147E2" w:rsidRDefault="00B147E2" w:rsidP="00B147E2">
      <w:pPr>
        <w:pStyle w:val="10"/>
        <w:spacing w:line="360" w:lineRule="auto"/>
        <w:ind w:right="26" w:firstLine="480"/>
        <w:rPr>
          <w:rFonts w:ascii="彩虹粗仿宋" w:eastAsia="彩虹粗仿宋" w:hAnsi="宋体"/>
          <w:kern w:val="2"/>
          <w:sz w:val="24"/>
          <w:szCs w:val="24"/>
        </w:rPr>
      </w:pPr>
      <w:r w:rsidRPr="00B147E2">
        <w:rPr>
          <w:rFonts w:ascii="彩虹粗仿宋" w:eastAsia="彩虹粗仿宋" w:hAnsi="宋体"/>
          <w:kern w:val="2"/>
          <w:sz w:val="24"/>
          <w:szCs w:val="24"/>
        </w:rPr>
        <w:t>基金管理人：信达澳亚基金管理有限公司（盖章）</w:t>
      </w:r>
    </w:p>
    <w:p w14:paraId="03883021" w14:textId="77777777" w:rsidR="00B147E2" w:rsidRPr="00B147E2" w:rsidRDefault="00B147E2" w:rsidP="00B147E2">
      <w:pPr>
        <w:pStyle w:val="10"/>
        <w:spacing w:line="360" w:lineRule="auto"/>
        <w:ind w:right="26"/>
        <w:rPr>
          <w:rFonts w:ascii="彩虹粗仿宋" w:eastAsia="彩虹粗仿宋" w:hAnsi="宋体"/>
          <w:kern w:val="2"/>
          <w:sz w:val="24"/>
          <w:szCs w:val="24"/>
        </w:rPr>
      </w:pPr>
    </w:p>
    <w:p w14:paraId="1AAB067B" w14:textId="77777777" w:rsidR="00B147E2" w:rsidRPr="00B147E2" w:rsidRDefault="00B147E2" w:rsidP="00B147E2">
      <w:pPr>
        <w:pStyle w:val="10"/>
        <w:spacing w:line="360" w:lineRule="auto"/>
        <w:ind w:right="26" w:firstLine="480"/>
        <w:rPr>
          <w:rFonts w:ascii="彩虹粗仿宋" w:eastAsia="彩虹粗仿宋" w:hAnsi="宋体"/>
          <w:kern w:val="2"/>
          <w:sz w:val="24"/>
          <w:szCs w:val="24"/>
        </w:rPr>
      </w:pPr>
      <w:r w:rsidRPr="00B147E2">
        <w:rPr>
          <w:rFonts w:ascii="彩虹粗仿宋" w:eastAsia="彩虹粗仿宋" w:hAnsi="宋体"/>
          <w:kern w:val="2"/>
          <w:sz w:val="24"/>
          <w:szCs w:val="24"/>
        </w:rPr>
        <w:t xml:space="preserve">法定代表人或授权代表：                   </w:t>
      </w:r>
    </w:p>
    <w:p w14:paraId="2E2461C5" w14:textId="77777777" w:rsidR="00B147E2" w:rsidRPr="00B147E2" w:rsidRDefault="00B147E2" w:rsidP="00B147E2">
      <w:pPr>
        <w:pStyle w:val="10"/>
        <w:spacing w:line="360" w:lineRule="auto"/>
        <w:ind w:right="26" w:firstLine="480"/>
        <w:rPr>
          <w:rFonts w:ascii="彩虹粗仿宋" w:eastAsia="彩虹粗仿宋" w:hAnsi="宋体"/>
          <w:kern w:val="2"/>
          <w:sz w:val="24"/>
          <w:szCs w:val="24"/>
        </w:rPr>
      </w:pPr>
    </w:p>
    <w:p w14:paraId="35BFF65F" w14:textId="77777777" w:rsidR="00B147E2" w:rsidRDefault="00B147E2" w:rsidP="00B147E2">
      <w:pPr>
        <w:pStyle w:val="10"/>
        <w:spacing w:line="360" w:lineRule="auto"/>
        <w:ind w:right="26"/>
        <w:rPr>
          <w:rFonts w:ascii="彩虹粗仿宋" w:eastAsia="彩虹粗仿宋" w:hAnsi="宋体"/>
          <w:kern w:val="2"/>
          <w:sz w:val="24"/>
          <w:szCs w:val="24"/>
        </w:rPr>
      </w:pPr>
    </w:p>
    <w:p w14:paraId="59CD2A3D" w14:textId="77777777" w:rsidR="00B147E2" w:rsidRPr="00B147E2" w:rsidRDefault="00B147E2" w:rsidP="00B147E2">
      <w:pPr>
        <w:pStyle w:val="10"/>
        <w:spacing w:line="360" w:lineRule="auto"/>
        <w:ind w:right="26"/>
        <w:rPr>
          <w:rFonts w:ascii="彩虹粗仿宋" w:eastAsia="彩虹粗仿宋" w:hAnsi="宋体"/>
          <w:kern w:val="2"/>
          <w:sz w:val="24"/>
          <w:szCs w:val="24"/>
        </w:rPr>
      </w:pPr>
    </w:p>
    <w:p w14:paraId="205B740E" w14:textId="77777777" w:rsidR="00B147E2" w:rsidRPr="00B147E2" w:rsidRDefault="00B147E2" w:rsidP="00B147E2">
      <w:pPr>
        <w:pStyle w:val="10"/>
        <w:spacing w:line="360" w:lineRule="auto"/>
        <w:ind w:right="26" w:firstLine="480"/>
        <w:rPr>
          <w:rFonts w:ascii="彩虹粗仿宋" w:eastAsia="彩虹粗仿宋" w:hAnsi="宋体"/>
          <w:kern w:val="2"/>
          <w:sz w:val="24"/>
          <w:szCs w:val="24"/>
        </w:rPr>
      </w:pPr>
      <w:r w:rsidRPr="00B147E2">
        <w:rPr>
          <w:rFonts w:ascii="彩虹粗仿宋" w:eastAsia="彩虹粗仿宋" w:hAnsi="宋体"/>
          <w:kern w:val="2"/>
          <w:sz w:val="24"/>
          <w:szCs w:val="24"/>
        </w:rPr>
        <w:t>基金托管人：中国建设银行股份有限公司（盖章）</w:t>
      </w:r>
    </w:p>
    <w:p w14:paraId="1A95B1FA" w14:textId="77777777" w:rsidR="00B147E2" w:rsidRPr="00B147E2" w:rsidRDefault="00B147E2" w:rsidP="00B147E2">
      <w:pPr>
        <w:pStyle w:val="10"/>
        <w:spacing w:line="360" w:lineRule="auto"/>
        <w:ind w:right="26"/>
        <w:rPr>
          <w:rFonts w:ascii="彩虹粗仿宋" w:eastAsia="彩虹粗仿宋" w:hAnsi="宋体"/>
          <w:kern w:val="2"/>
          <w:sz w:val="24"/>
          <w:szCs w:val="24"/>
        </w:rPr>
      </w:pPr>
    </w:p>
    <w:p w14:paraId="7BD9909E" w14:textId="77777777" w:rsidR="00B147E2" w:rsidRPr="00B147E2" w:rsidRDefault="00B147E2" w:rsidP="00B147E2">
      <w:pPr>
        <w:pStyle w:val="10"/>
        <w:spacing w:line="360" w:lineRule="auto"/>
        <w:ind w:right="26" w:firstLine="480"/>
        <w:rPr>
          <w:rFonts w:ascii="彩虹粗仿宋" w:eastAsia="彩虹粗仿宋" w:hAnsi="宋体"/>
          <w:kern w:val="2"/>
          <w:sz w:val="24"/>
          <w:szCs w:val="24"/>
        </w:rPr>
      </w:pPr>
      <w:r w:rsidRPr="00B147E2">
        <w:rPr>
          <w:rFonts w:ascii="彩虹粗仿宋" w:eastAsia="彩虹粗仿宋" w:hAnsi="宋体"/>
          <w:kern w:val="2"/>
          <w:sz w:val="24"/>
          <w:szCs w:val="24"/>
        </w:rPr>
        <w:t xml:space="preserve">法定代表人或授权代表：                   </w:t>
      </w:r>
    </w:p>
    <w:p w14:paraId="6505D49E" w14:textId="77777777" w:rsidR="00B147E2" w:rsidRDefault="00B147E2" w:rsidP="00B147E2">
      <w:pPr>
        <w:pStyle w:val="10"/>
        <w:spacing w:line="360" w:lineRule="auto"/>
        <w:ind w:right="26"/>
        <w:rPr>
          <w:rFonts w:ascii="彩虹粗仿宋" w:eastAsia="彩虹粗仿宋" w:hAnsi="宋体"/>
          <w:kern w:val="2"/>
          <w:sz w:val="24"/>
          <w:szCs w:val="24"/>
        </w:rPr>
      </w:pPr>
    </w:p>
    <w:p w14:paraId="68E950C9" w14:textId="77777777" w:rsidR="00B147E2" w:rsidRDefault="00B147E2" w:rsidP="00B147E2">
      <w:pPr>
        <w:pStyle w:val="10"/>
        <w:spacing w:line="360" w:lineRule="auto"/>
        <w:ind w:right="26"/>
        <w:rPr>
          <w:rFonts w:ascii="彩虹粗仿宋" w:eastAsia="彩虹粗仿宋" w:hAnsi="宋体"/>
          <w:kern w:val="2"/>
          <w:sz w:val="24"/>
          <w:szCs w:val="24"/>
        </w:rPr>
      </w:pPr>
    </w:p>
    <w:p w14:paraId="2EDA5EF2" w14:textId="77777777" w:rsidR="00B147E2" w:rsidRPr="00B147E2" w:rsidRDefault="00B147E2" w:rsidP="00B147E2">
      <w:pPr>
        <w:pStyle w:val="10"/>
        <w:spacing w:line="360" w:lineRule="auto"/>
        <w:ind w:right="26"/>
        <w:rPr>
          <w:rFonts w:ascii="彩虹粗仿宋" w:eastAsia="彩虹粗仿宋" w:hAnsi="宋体"/>
          <w:kern w:val="2"/>
          <w:sz w:val="24"/>
          <w:szCs w:val="24"/>
        </w:rPr>
      </w:pPr>
    </w:p>
    <w:p w14:paraId="2BBAA277" w14:textId="77777777" w:rsidR="00B147E2" w:rsidRPr="00B147E2" w:rsidRDefault="00B147E2" w:rsidP="00B147E2">
      <w:pPr>
        <w:pStyle w:val="10"/>
        <w:spacing w:line="360" w:lineRule="auto"/>
        <w:ind w:right="26" w:firstLine="482"/>
        <w:rPr>
          <w:rFonts w:ascii="彩虹粗仿宋" w:eastAsia="彩虹粗仿宋" w:hAnsi="宋体"/>
          <w:kern w:val="2"/>
          <w:sz w:val="24"/>
          <w:szCs w:val="24"/>
        </w:rPr>
      </w:pPr>
      <w:r w:rsidRPr="00B147E2">
        <w:rPr>
          <w:rFonts w:ascii="彩虹粗仿宋" w:eastAsia="彩虹粗仿宋" w:hAnsi="宋体"/>
          <w:kern w:val="2"/>
          <w:sz w:val="24"/>
          <w:szCs w:val="24"/>
        </w:rPr>
        <w:t>签订地点：</w:t>
      </w:r>
    </w:p>
    <w:p w14:paraId="31F78CBE" w14:textId="77777777" w:rsidR="00B147E2" w:rsidRPr="00B147E2" w:rsidRDefault="00B147E2" w:rsidP="00B147E2">
      <w:pPr>
        <w:pStyle w:val="10"/>
        <w:spacing w:line="360" w:lineRule="auto"/>
        <w:ind w:right="26" w:firstLine="482"/>
        <w:rPr>
          <w:rFonts w:ascii="彩虹粗仿宋" w:eastAsia="彩虹粗仿宋" w:hAnsi="宋体"/>
          <w:kern w:val="2"/>
          <w:sz w:val="24"/>
          <w:szCs w:val="24"/>
        </w:rPr>
      </w:pPr>
      <w:r w:rsidRPr="00B147E2">
        <w:rPr>
          <w:rFonts w:ascii="彩虹粗仿宋" w:eastAsia="彩虹粗仿宋" w:hAnsi="宋体"/>
          <w:kern w:val="2"/>
          <w:sz w:val="24"/>
          <w:szCs w:val="24"/>
        </w:rPr>
        <w:t>签 订 日：二零二</w:t>
      </w:r>
      <w:r w:rsidRPr="00B147E2">
        <w:rPr>
          <w:rFonts w:ascii="彩虹粗仿宋" w:eastAsia="彩虹粗仿宋" w:hAnsi="宋体" w:hint="eastAsia"/>
          <w:kern w:val="2"/>
          <w:sz w:val="24"/>
          <w:szCs w:val="24"/>
        </w:rPr>
        <w:t xml:space="preserve"> </w:t>
      </w:r>
      <w:r w:rsidRPr="00B147E2">
        <w:rPr>
          <w:rFonts w:ascii="彩虹粗仿宋" w:eastAsia="彩虹粗仿宋" w:hAnsi="宋体"/>
          <w:kern w:val="2"/>
          <w:sz w:val="24"/>
          <w:szCs w:val="24"/>
        </w:rPr>
        <w:t xml:space="preserve">     年   月   日</w:t>
      </w:r>
    </w:p>
    <w:p w14:paraId="4A5200B2" w14:textId="77777777" w:rsidR="00C74F7E" w:rsidRPr="00B147E2" w:rsidRDefault="00C74F7E">
      <w:pPr>
        <w:widowControl/>
        <w:jc w:val="left"/>
      </w:pPr>
    </w:p>
    <w:sectPr w:rsidR="00C74F7E" w:rsidRPr="00B147E2">
      <w:headerReference w:type="default" r:id="rId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FC9AF" w16cex:dateUtc="2025-10-29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8141E" w16cid:durableId="2438141E"/>
  <w16cid:commentId w16cid:paraId="750FB039" w16cid:durableId="750FB039"/>
  <w16cid:commentId w16cid:paraId="1FA3E2A7" w16cid:durableId="1FA3E2A7"/>
  <w16cid:commentId w16cid:paraId="5594332A" w16cid:durableId="5594332A"/>
  <w16cid:commentId w16cid:paraId="50A9F1E8" w16cid:durableId="50A9F1E8"/>
  <w16cid:commentId w16cid:paraId="59A04C0E" w16cid:durableId="59A04C0E"/>
  <w16cid:commentId w16cid:paraId="28D90956" w16cid:durableId="28D90956"/>
  <w16cid:commentId w16cid:paraId="2372237C" w16cid:durableId="2372237C"/>
  <w16cid:commentId w16cid:paraId="3A8923E2" w16cid:durableId="3A8923E2"/>
  <w16cid:commentId w16cid:paraId="31DE3F3A" w16cid:durableId="31DE3F3A"/>
  <w16cid:commentId w16cid:paraId="2C71D4FC" w16cid:durableId="2C71D4FC"/>
  <w16cid:commentId w16cid:paraId="5FE53E7A" w16cid:durableId="5FE53E7A"/>
  <w16cid:commentId w16cid:paraId="114BE30C" w16cid:durableId="114BE30C"/>
  <w16cid:commentId w16cid:paraId="31BA532E" w16cid:durableId="31BA532E"/>
  <w16cid:commentId w16cid:paraId="3369CA37" w16cid:durableId="3369CA37"/>
  <w16cid:commentId w16cid:paraId="34AC1AE7" w16cid:durableId="34AC1AE7"/>
  <w16cid:commentId w16cid:paraId="77751DBA" w16cid:durableId="77751DBA"/>
  <w16cid:commentId w16cid:paraId="1AFBFA0C" w16cid:durableId="1AFBFA0C"/>
  <w16cid:commentId w16cid:paraId="515E4563" w16cid:durableId="515E4563"/>
  <w16cid:commentId w16cid:paraId="3DA3ED8F" w16cid:durableId="3DA3ED8F"/>
  <w16cid:commentId w16cid:paraId="385C204F" w16cid:durableId="385C204F"/>
  <w16cid:commentId w16cid:paraId="621D79E0" w16cid:durableId="621D79E0"/>
  <w16cid:commentId w16cid:paraId="16960314" w16cid:durableId="16960314"/>
  <w16cid:commentId w16cid:paraId="7290DE1D" w16cid:durableId="7290DE1D"/>
  <w16cid:commentId w16cid:paraId="79DFDA67" w16cid:durableId="79DFDA67"/>
  <w16cid:commentId w16cid:paraId="007F432B" w16cid:durableId="007F432B"/>
  <w16cid:commentId w16cid:paraId="5969CD91" w16cid:durableId="5969CD91"/>
  <w16cid:commentId w16cid:paraId="1C20F50A" w16cid:durableId="1C20F50A"/>
  <w16cid:commentId w16cid:paraId="5CA83629" w16cid:durableId="5CA83629"/>
  <w16cid:commentId w16cid:paraId="48733F96" w16cid:durableId="48733F96"/>
  <w16cid:commentId w16cid:paraId="23BD9EEF" w16cid:durableId="23BD9EEF"/>
  <w16cid:commentId w16cid:paraId="22C81872" w16cid:durableId="22C81872"/>
  <w16cid:commentId w16cid:paraId="76261C2B" w16cid:durableId="76261C2B"/>
  <w16cid:commentId w16cid:paraId="53DF2157" w16cid:durableId="53DF2157"/>
  <w16cid:commentId w16cid:paraId="023DAAA3" w16cid:durableId="023DAAA3"/>
  <w16cid:commentId w16cid:paraId="7D688E16" w16cid:durableId="7D688E16"/>
  <w16cid:commentId w16cid:paraId="633D33FC" w16cid:durableId="633D33FC"/>
  <w16cid:commentId w16cid:paraId="102D458D" w16cid:durableId="102D458D"/>
  <w16cid:commentId w16cid:paraId="2AD965F7" w16cid:durableId="381FC9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1E40D" w14:textId="77777777" w:rsidR="001023D2" w:rsidRDefault="001023D2">
      <w:r>
        <w:separator/>
      </w:r>
    </w:p>
  </w:endnote>
  <w:endnote w:type="continuationSeparator" w:id="0">
    <w:p w14:paraId="15C6CC91" w14:textId="77777777" w:rsidR="001023D2" w:rsidRDefault="0010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2" w:usb3="00000000" w:csb0="00040001" w:csb1="00000000"/>
  </w:font>
  <w:font w:name="彩虹粗仿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B6A7" w14:textId="77777777" w:rsidR="00A615F1" w:rsidRDefault="00A615F1">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07A9034E" w14:textId="77777777" w:rsidR="00A615F1" w:rsidRDefault="00A615F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2D3F3" w14:textId="7F8AD049" w:rsidR="00A615F1" w:rsidRDefault="00A615F1">
    <w:pPr>
      <w:pStyle w:val="a7"/>
      <w:framePr w:wrap="around" w:vAnchor="text" w:hAnchor="margin" w:xAlign="center" w:y="1"/>
      <w:rPr>
        <w:rStyle w:val="aa"/>
      </w:rPr>
    </w:pPr>
    <w:r>
      <w:fldChar w:fldCharType="begin"/>
    </w:r>
    <w:r>
      <w:rPr>
        <w:rStyle w:val="aa"/>
      </w:rPr>
      <w:instrText xml:space="preserve">PAGE  </w:instrText>
    </w:r>
    <w:r>
      <w:fldChar w:fldCharType="separate"/>
    </w:r>
    <w:r w:rsidR="00B90448">
      <w:rPr>
        <w:rStyle w:val="aa"/>
        <w:noProof/>
      </w:rPr>
      <w:t>52</w:t>
    </w:r>
    <w:r>
      <w:fldChar w:fldCharType="end"/>
    </w:r>
  </w:p>
  <w:p w14:paraId="3389D131" w14:textId="77777777" w:rsidR="00A615F1" w:rsidRDefault="00A615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41602" w14:textId="77777777" w:rsidR="001023D2" w:rsidRDefault="001023D2">
      <w:r>
        <w:separator/>
      </w:r>
    </w:p>
  </w:footnote>
  <w:footnote w:type="continuationSeparator" w:id="0">
    <w:p w14:paraId="077DAFED" w14:textId="77777777" w:rsidR="001023D2" w:rsidRDefault="00102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A2F43" w14:textId="77777777" w:rsidR="00A615F1" w:rsidRDefault="00A615F1">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OTAyZWRjOGRiN2FkNDYxNTJmMTUxMTBkMzQ2MzIifQ=="/>
  </w:docVars>
  <w:rsids>
    <w:rsidRoot w:val="5D5F5161"/>
    <w:rsid w:val="00013FB3"/>
    <w:rsid w:val="00047D1E"/>
    <w:rsid w:val="00051605"/>
    <w:rsid w:val="00055959"/>
    <w:rsid w:val="00076C9B"/>
    <w:rsid w:val="000C6DC4"/>
    <w:rsid w:val="00102377"/>
    <w:rsid w:val="001023D2"/>
    <w:rsid w:val="00131F85"/>
    <w:rsid w:val="00192EE0"/>
    <w:rsid w:val="001A5518"/>
    <w:rsid w:val="001A7ACA"/>
    <w:rsid w:val="001D4687"/>
    <w:rsid w:val="001F4EE4"/>
    <w:rsid w:val="0023241C"/>
    <w:rsid w:val="002D5D9A"/>
    <w:rsid w:val="002E4809"/>
    <w:rsid w:val="002F235D"/>
    <w:rsid w:val="002F3710"/>
    <w:rsid w:val="0036326B"/>
    <w:rsid w:val="003808F6"/>
    <w:rsid w:val="0039091F"/>
    <w:rsid w:val="004144B0"/>
    <w:rsid w:val="00427E26"/>
    <w:rsid w:val="00443DD9"/>
    <w:rsid w:val="00452EF6"/>
    <w:rsid w:val="004560B7"/>
    <w:rsid w:val="004A1999"/>
    <w:rsid w:val="004A620E"/>
    <w:rsid w:val="004B0030"/>
    <w:rsid w:val="004F0D5B"/>
    <w:rsid w:val="004F1D38"/>
    <w:rsid w:val="0055356B"/>
    <w:rsid w:val="005C281F"/>
    <w:rsid w:val="00603CB0"/>
    <w:rsid w:val="00643E71"/>
    <w:rsid w:val="00651C8F"/>
    <w:rsid w:val="00684B6C"/>
    <w:rsid w:val="00697C21"/>
    <w:rsid w:val="006A048F"/>
    <w:rsid w:val="006A12B2"/>
    <w:rsid w:val="006D37C4"/>
    <w:rsid w:val="00712DB9"/>
    <w:rsid w:val="00723F8D"/>
    <w:rsid w:val="0072573F"/>
    <w:rsid w:val="0075099A"/>
    <w:rsid w:val="007802B7"/>
    <w:rsid w:val="007A529C"/>
    <w:rsid w:val="007C40D6"/>
    <w:rsid w:val="00814F0C"/>
    <w:rsid w:val="00863411"/>
    <w:rsid w:val="008640D2"/>
    <w:rsid w:val="008806A6"/>
    <w:rsid w:val="008A79D9"/>
    <w:rsid w:val="008E3386"/>
    <w:rsid w:val="0090494F"/>
    <w:rsid w:val="00934BC8"/>
    <w:rsid w:val="009641F6"/>
    <w:rsid w:val="009826F2"/>
    <w:rsid w:val="009B546B"/>
    <w:rsid w:val="009D3E76"/>
    <w:rsid w:val="009D7B7A"/>
    <w:rsid w:val="00A151C6"/>
    <w:rsid w:val="00A41B4D"/>
    <w:rsid w:val="00A43852"/>
    <w:rsid w:val="00A615F1"/>
    <w:rsid w:val="00A63E1C"/>
    <w:rsid w:val="00A7272E"/>
    <w:rsid w:val="00A76690"/>
    <w:rsid w:val="00A912D9"/>
    <w:rsid w:val="00AE1441"/>
    <w:rsid w:val="00AF3785"/>
    <w:rsid w:val="00B147E2"/>
    <w:rsid w:val="00B34F0D"/>
    <w:rsid w:val="00B757C2"/>
    <w:rsid w:val="00B90448"/>
    <w:rsid w:val="00BB3BFC"/>
    <w:rsid w:val="00C01506"/>
    <w:rsid w:val="00C0585F"/>
    <w:rsid w:val="00C35941"/>
    <w:rsid w:val="00C658EB"/>
    <w:rsid w:val="00C65FFB"/>
    <w:rsid w:val="00C74F7E"/>
    <w:rsid w:val="00C81B8E"/>
    <w:rsid w:val="00C90AAD"/>
    <w:rsid w:val="00CE02CD"/>
    <w:rsid w:val="00CE55A1"/>
    <w:rsid w:val="00CF101D"/>
    <w:rsid w:val="00CF1D2F"/>
    <w:rsid w:val="00CF5E81"/>
    <w:rsid w:val="00D4042B"/>
    <w:rsid w:val="00D629DF"/>
    <w:rsid w:val="00D74FF4"/>
    <w:rsid w:val="00DB26C4"/>
    <w:rsid w:val="00E15DCD"/>
    <w:rsid w:val="00E310C1"/>
    <w:rsid w:val="00E620D1"/>
    <w:rsid w:val="00E64CFA"/>
    <w:rsid w:val="00E6509E"/>
    <w:rsid w:val="00E72FFF"/>
    <w:rsid w:val="00E75BF7"/>
    <w:rsid w:val="00E964E5"/>
    <w:rsid w:val="00EC4FE5"/>
    <w:rsid w:val="00F1767B"/>
    <w:rsid w:val="00F5304B"/>
    <w:rsid w:val="00F66496"/>
    <w:rsid w:val="00F672E5"/>
    <w:rsid w:val="00FB5DBF"/>
    <w:rsid w:val="00FD53C6"/>
    <w:rsid w:val="0530762D"/>
    <w:rsid w:val="06FE3C73"/>
    <w:rsid w:val="0C8133F0"/>
    <w:rsid w:val="109553E4"/>
    <w:rsid w:val="133F79D5"/>
    <w:rsid w:val="16881F81"/>
    <w:rsid w:val="1A60766D"/>
    <w:rsid w:val="1C961170"/>
    <w:rsid w:val="1ED3650A"/>
    <w:rsid w:val="2BD85656"/>
    <w:rsid w:val="4B1A6829"/>
    <w:rsid w:val="51526F02"/>
    <w:rsid w:val="5D5F5161"/>
    <w:rsid w:val="5FE84E0C"/>
    <w:rsid w:val="66C51637"/>
    <w:rsid w:val="7B242D44"/>
    <w:rsid w:val="7B6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B1379"/>
  <w15:docId w15:val="{75129E54-6EE0-4A53-A028-32EE824F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Char"/>
    <w:qFormat/>
    <w:pPr>
      <w:jc w:val="left"/>
    </w:pPr>
  </w:style>
  <w:style w:type="paragraph" w:styleId="a5">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a6">
    <w:name w:val="Balloon Text"/>
    <w:basedOn w:val="a"/>
    <w:link w:val="Char0"/>
    <w:qFormat/>
    <w:rPr>
      <w:sz w:val="18"/>
      <w:szCs w:val="18"/>
    </w:rPr>
  </w:style>
  <w:style w:type="paragraph" w:styleId="a7">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0">
    <w:name w:val="toc 2"/>
    <w:basedOn w:val="a"/>
    <w:next w:val="a"/>
    <w:uiPriority w:val="39"/>
    <w:unhideWhenUsed/>
    <w:qFormat/>
    <w:pPr>
      <w:ind w:leftChars="200" w:left="420"/>
    </w:pPr>
  </w:style>
  <w:style w:type="paragraph" w:styleId="a9">
    <w:name w:val="annotation subject"/>
    <w:basedOn w:val="a4"/>
    <w:next w:val="a4"/>
    <w:link w:val="Char1"/>
    <w:qFormat/>
    <w:rPr>
      <w:b/>
      <w:bCs/>
    </w:rPr>
  </w:style>
  <w:style w:type="character" w:styleId="aa">
    <w:name w:val="page number"/>
    <w:basedOn w:val="a1"/>
    <w:qFormat/>
  </w:style>
  <w:style w:type="character" w:styleId="ab">
    <w:name w:val="annotation reference"/>
    <w:qFormat/>
    <w:rPr>
      <w:sz w:val="21"/>
      <w:szCs w:val="21"/>
    </w:rPr>
  </w:style>
  <w:style w:type="character" w:customStyle="1" w:styleId="read">
    <w:name w:val="read"/>
    <w:basedOn w:val="a1"/>
    <w:qFormat/>
  </w:style>
  <w:style w:type="character" w:customStyle="1" w:styleId="Char0">
    <w:name w:val="批注框文本 Char"/>
    <w:basedOn w:val="a1"/>
    <w:link w:val="a6"/>
    <w:qFormat/>
    <w:rPr>
      <w:rFonts w:ascii="Times New Roman" w:eastAsia="宋体" w:hAnsi="Times New Roman" w:cs="Times New Roman"/>
      <w:kern w:val="2"/>
      <w:sz w:val="18"/>
      <w:szCs w:val="18"/>
    </w:rPr>
  </w:style>
  <w:style w:type="character" w:customStyle="1" w:styleId="Char">
    <w:name w:val="批注文字 Char"/>
    <w:link w:val="a4"/>
    <w:qFormat/>
    <w:locked/>
    <w:rPr>
      <w:rFonts w:ascii="Times New Roman" w:eastAsia="宋体" w:hAnsi="Times New Roman" w:cs="Times New Roman"/>
      <w:kern w:val="2"/>
      <w:sz w:val="21"/>
      <w:szCs w:val="24"/>
    </w:rPr>
  </w:style>
  <w:style w:type="character" w:customStyle="1" w:styleId="Char1">
    <w:name w:val="批注主题 Char"/>
    <w:basedOn w:val="Char"/>
    <w:link w:val="a9"/>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1">
    <w:name w:val="修订2"/>
    <w:hidden/>
    <w:uiPriority w:val="99"/>
    <w:semiHidden/>
    <w:qFormat/>
    <w:rPr>
      <w:rFonts w:ascii="Times New Roman" w:eastAsia="宋体" w:hAnsi="Times New Roman" w:cs="Times New Roman"/>
      <w:kern w:val="2"/>
      <w:sz w:val="21"/>
      <w:szCs w:val="24"/>
    </w:rPr>
  </w:style>
  <w:style w:type="paragraph" w:styleId="ac">
    <w:name w:val="Revision"/>
    <w:hidden/>
    <w:uiPriority w:val="99"/>
    <w:unhideWhenUsed/>
    <w:rsid w:val="007A529C"/>
    <w:rPr>
      <w:rFonts w:ascii="Times New Roman" w:eastAsia="宋体" w:hAnsi="Times New Roman" w:cs="Times New Roman"/>
      <w:kern w:val="2"/>
      <w:sz w:val="21"/>
      <w:szCs w:val="24"/>
    </w:rPr>
  </w:style>
  <w:style w:type="paragraph" w:customStyle="1" w:styleId="10">
    <w:name w:val="正文1"/>
    <w:link w:val="unnamed11"/>
    <w:qFormat/>
    <w:rsid w:val="00B147E2"/>
    <w:pPr>
      <w:widowControl w:val="0"/>
      <w:spacing w:after="200" w:line="276" w:lineRule="auto"/>
      <w:jc w:val="both"/>
    </w:pPr>
    <w:rPr>
      <w:rFonts w:ascii="Arial" w:eastAsia="宋体" w:hAnsi="Arial" w:cs="Arial"/>
      <w:sz w:val="21"/>
      <w:szCs w:val="22"/>
    </w:rPr>
  </w:style>
  <w:style w:type="character" w:customStyle="1" w:styleId="unnamed11">
    <w:name w:val="unnamed11"/>
    <w:link w:val="10"/>
    <w:qFormat/>
    <w:rsid w:val="00B147E2"/>
    <w:rPr>
      <w:rFonts w:ascii="Arial" w:eastAsia="宋体" w:hAnsi="Arial" w:cs="Arial"/>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69F2A-4B47-4C66-8C64-DC9F9AEB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56</Pages>
  <Words>4972</Words>
  <Characters>28344</Characters>
  <Application>Microsoft Office Word</Application>
  <DocSecurity>0</DocSecurity>
  <Lines>236</Lines>
  <Paragraphs>66</Paragraphs>
  <ScaleCrop>false</ScaleCrop>
  <Company>神州网信技术有限公司</Company>
  <LinksUpToDate>false</LinksUpToDate>
  <CharactersWithSpaces>33250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徐睿-Ray</dc:creator>
  <cp:lastModifiedBy>1</cp:lastModifiedBy>
  <cp:revision>19</cp:revision>
  <cp:lastPrinted>2024-03-28T03:32:00Z</cp:lastPrinted>
  <dcterms:created xsi:type="dcterms:W3CDTF">2025-11-11T08:29:00Z</dcterms:created>
  <dcterms:modified xsi:type="dcterms:W3CDTF">2025-12-09T09:13:00Z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565D997EB1CA40878801F252F6BAFF45_13</vt:lpwstr>
  </property>
  <property fmtid="{D5CDD505-2E9C-101B-9397-08002B2CF9AE}" pid="4" name="KSOTemplateDocerSaveRecord">
    <vt:lpwstr>eyJoZGlkIjoiNjVlZGJiN2I3NTVjMTMwNWRjMzFjNTcyOWQ1MDBlNTYiLCJ1c2VySWQiOiIzMDIwMTM0MjgifQ==</vt:lpwstr>
  </property>
</Properties>
</file>